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E7DB" w14:textId="77777777" w:rsidR="00403DDE" w:rsidRDefault="00403DDE">
      <w:pPr>
        <w:spacing w:line="500" w:lineRule="exact"/>
        <w:ind w:firstLine="435"/>
        <w:rPr>
          <w:rFonts w:ascii="仿宋" w:eastAsia="仿宋" w:hAnsi="仿宋"/>
          <w:sz w:val="32"/>
          <w:szCs w:val="32"/>
        </w:rPr>
      </w:pPr>
    </w:p>
    <w:p w14:paraId="6A181A64" w14:textId="77777777" w:rsidR="00403DDE" w:rsidRPr="00820590" w:rsidRDefault="00000000">
      <w:pPr>
        <w:jc w:val="center"/>
        <w:rPr>
          <w:rFonts w:ascii="仿宋" w:eastAsia="仿宋" w:hAnsi="仿宋"/>
          <w:b/>
          <w:bCs/>
          <w:sz w:val="52"/>
          <w:szCs w:val="52"/>
        </w:rPr>
      </w:pPr>
      <w:r w:rsidRPr="00820590">
        <w:rPr>
          <w:rFonts w:ascii="仿宋" w:eastAsia="仿宋" w:hAnsi="仿宋" w:hint="eastAsia"/>
          <w:b/>
          <w:bCs/>
          <w:sz w:val="52"/>
          <w:szCs w:val="52"/>
        </w:rPr>
        <w:t>通  知  书</w:t>
      </w:r>
    </w:p>
    <w:p w14:paraId="1548DD54" w14:textId="611D01F7" w:rsidR="00403DDE" w:rsidRDefault="00000000">
      <w:pPr>
        <w:spacing w:line="640" w:lineRule="exact"/>
        <w:rPr>
          <w:rFonts w:ascii="仿宋" w:eastAsia="仿宋" w:hAnsi="仿宋"/>
          <w:sz w:val="28"/>
          <w:szCs w:val="28"/>
        </w:rPr>
      </w:pPr>
      <w:r>
        <w:rPr>
          <w:rFonts w:ascii="仿宋" w:eastAsia="仿宋" w:hAnsi="仿宋" w:hint="eastAsia"/>
          <w:sz w:val="28"/>
          <w:szCs w:val="28"/>
        </w:rPr>
        <w:t>各</w:t>
      </w:r>
      <w:r w:rsidR="00820590">
        <w:rPr>
          <w:rFonts w:ascii="仿宋" w:eastAsia="仿宋" w:hAnsi="仿宋" w:hint="eastAsia"/>
          <w:sz w:val="28"/>
          <w:szCs w:val="28"/>
        </w:rPr>
        <w:t>温州鹏程控股集团有限公司</w:t>
      </w:r>
      <w:r>
        <w:rPr>
          <w:rFonts w:ascii="仿宋" w:eastAsia="仿宋" w:hAnsi="仿宋" w:hint="eastAsia"/>
          <w:sz w:val="28"/>
          <w:szCs w:val="28"/>
        </w:rPr>
        <w:t>债权人：</w:t>
      </w:r>
    </w:p>
    <w:p w14:paraId="275FA1D4" w14:textId="59EAB0C4" w:rsidR="00403DDE" w:rsidRDefault="00820590">
      <w:pPr>
        <w:spacing w:line="640" w:lineRule="exact"/>
        <w:ind w:firstLineChars="200" w:firstLine="560"/>
        <w:rPr>
          <w:rFonts w:ascii="仿宋" w:eastAsia="仿宋" w:hAnsi="仿宋"/>
          <w:sz w:val="28"/>
          <w:szCs w:val="28"/>
        </w:rPr>
      </w:pPr>
      <w:r>
        <w:rPr>
          <w:rFonts w:ascii="仿宋" w:eastAsia="仿宋" w:hAnsi="仿宋" w:hint="eastAsia"/>
          <w:sz w:val="28"/>
          <w:szCs w:val="28"/>
        </w:rPr>
        <w:t>永嘉县人民法院根据光大金瓯资产管理有限公司的申请于20</w:t>
      </w:r>
      <w:r>
        <w:rPr>
          <w:rFonts w:ascii="仿宋" w:eastAsia="仿宋" w:hAnsi="仿宋"/>
          <w:sz w:val="28"/>
          <w:szCs w:val="28"/>
        </w:rPr>
        <w:t>23</w:t>
      </w:r>
      <w:r>
        <w:rPr>
          <w:rFonts w:ascii="仿宋" w:eastAsia="仿宋" w:hAnsi="仿宋" w:hint="eastAsia"/>
          <w:sz w:val="28"/>
          <w:szCs w:val="28"/>
        </w:rPr>
        <w:t>年8月</w:t>
      </w:r>
      <w:r>
        <w:rPr>
          <w:rFonts w:ascii="仿宋" w:eastAsia="仿宋" w:hAnsi="仿宋"/>
          <w:sz w:val="28"/>
          <w:szCs w:val="28"/>
        </w:rPr>
        <w:t>7</w:t>
      </w:r>
      <w:r>
        <w:rPr>
          <w:rFonts w:ascii="仿宋" w:eastAsia="仿宋" w:hAnsi="仿宋" w:hint="eastAsia"/>
          <w:sz w:val="28"/>
          <w:szCs w:val="28"/>
        </w:rPr>
        <w:t>日裁定受理该公司申请温州鹏程控股集团有限公司破产清算一案，并于同日指定浙江大公律师事务所为温州鹏程控股集团有限公司管理人。各债权人应在2</w:t>
      </w:r>
      <w:r>
        <w:rPr>
          <w:rFonts w:ascii="仿宋" w:eastAsia="仿宋" w:hAnsi="仿宋"/>
          <w:sz w:val="28"/>
          <w:szCs w:val="28"/>
        </w:rPr>
        <w:t>023</w:t>
      </w:r>
      <w:r>
        <w:rPr>
          <w:rFonts w:ascii="仿宋" w:eastAsia="仿宋" w:hAnsi="仿宋" w:hint="eastAsia"/>
          <w:sz w:val="28"/>
          <w:szCs w:val="28"/>
        </w:rPr>
        <w:t>年1</w:t>
      </w:r>
      <w:r>
        <w:rPr>
          <w:rFonts w:ascii="仿宋" w:eastAsia="仿宋" w:hAnsi="仿宋"/>
          <w:sz w:val="28"/>
          <w:szCs w:val="28"/>
        </w:rPr>
        <w:t>1</w:t>
      </w:r>
      <w:r>
        <w:rPr>
          <w:rFonts w:ascii="仿宋" w:eastAsia="仿宋" w:hAnsi="仿宋" w:hint="eastAsia"/>
          <w:sz w:val="28"/>
          <w:szCs w:val="28"/>
        </w:rPr>
        <w:t>月2</w:t>
      </w:r>
      <w:r>
        <w:rPr>
          <w:rFonts w:ascii="仿宋" w:eastAsia="仿宋" w:hAnsi="仿宋"/>
          <w:sz w:val="28"/>
          <w:szCs w:val="28"/>
        </w:rPr>
        <w:t>0</w:t>
      </w:r>
      <w:r>
        <w:rPr>
          <w:rFonts w:ascii="仿宋" w:eastAsia="仿宋" w:hAnsi="仿宋" w:hint="eastAsia"/>
          <w:sz w:val="28"/>
          <w:szCs w:val="28"/>
        </w:rPr>
        <w:t>日前，向管理人申报债权【申报时间：法定工作日每周一至周五，上午9：00-11：30，下午3：00-5：00；申报地址：浙江省绍兴市越城区中兴中路375号B座7楼浙江大公律师事务所；邮编：312000；联系人：</w:t>
      </w:r>
      <w:r w:rsidR="00F02E51">
        <w:rPr>
          <w:rFonts w:ascii="仿宋" w:eastAsia="仿宋" w:hAnsi="仿宋" w:hint="eastAsia"/>
          <w:sz w:val="28"/>
          <w:szCs w:val="28"/>
        </w:rPr>
        <w:t>梁哲聃</w:t>
      </w:r>
      <w:r>
        <w:rPr>
          <w:rFonts w:ascii="仿宋" w:eastAsia="仿宋" w:hAnsi="仿宋" w:hint="eastAsia"/>
          <w:sz w:val="28"/>
          <w:szCs w:val="28"/>
        </w:rPr>
        <w:t>、范平淹，联系电话：</w:t>
      </w:r>
      <w:r w:rsidR="00F02E51" w:rsidRPr="00F02E51">
        <w:rPr>
          <w:rFonts w:ascii="仿宋" w:eastAsia="仿宋" w:hAnsi="仿宋"/>
          <w:sz w:val="28"/>
          <w:szCs w:val="28"/>
        </w:rPr>
        <w:t>18458597548</w:t>
      </w:r>
      <w:r>
        <w:rPr>
          <w:rFonts w:ascii="仿宋" w:eastAsia="仿宋" w:hAnsi="仿宋" w:hint="eastAsia"/>
          <w:sz w:val="28"/>
          <w:szCs w:val="28"/>
        </w:rPr>
        <w:t>、1</w:t>
      </w:r>
      <w:r>
        <w:rPr>
          <w:rFonts w:ascii="仿宋" w:eastAsia="仿宋" w:hAnsi="仿宋"/>
          <w:sz w:val="28"/>
          <w:szCs w:val="28"/>
        </w:rPr>
        <w:t>5957579898</w:t>
      </w:r>
      <w:r>
        <w:rPr>
          <w:rFonts w:ascii="仿宋" w:eastAsia="仿宋" w:hAnsi="仿宋" w:hint="eastAsia"/>
          <w:sz w:val="28"/>
          <w:szCs w:val="28"/>
        </w:rPr>
        <w:t>】，并书面说明债权数额、有无财产担保及是否属于连带债权，同时提供相关证据材料。未在上述期限内申报债权的，可以在破产财产分配方案提交债权人会议讨论前补充申报，但对此前已进行的分配无权要求补充分配，同时要承担为审查和确认补充申报债权所产生的费用。未申报债权的，不得依照《中华人民共和国企业破产法》规定的程序行使权利。</w:t>
      </w:r>
    </w:p>
    <w:p w14:paraId="1AD01257" w14:textId="6704108B" w:rsidR="00403DDE" w:rsidRDefault="00820590">
      <w:pPr>
        <w:spacing w:line="640" w:lineRule="exact"/>
        <w:ind w:firstLineChars="200" w:firstLine="560"/>
        <w:rPr>
          <w:rFonts w:ascii="仿宋" w:eastAsia="仿宋" w:hAnsi="仿宋"/>
          <w:sz w:val="28"/>
          <w:szCs w:val="28"/>
        </w:rPr>
      </w:pPr>
      <w:r>
        <w:rPr>
          <w:rFonts w:ascii="仿宋" w:eastAsia="仿宋" w:hAnsi="仿宋" w:hint="eastAsia"/>
          <w:sz w:val="28"/>
          <w:szCs w:val="28"/>
        </w:rPr>
        <w:t>永嘉县人民法院定于2</w:t>
      </w:r>
      <w:r>
        <w:rPr>
          <w:rFonts w:ascii="仿宋" w:eastAsia="仿宋" w:hAnsi="仿宋"/>
          <w:sz w:val="28"/>
          <w:szCs w:val="28"/>
        </w:rPr>
        <w:t>023</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月2</w:t>
      </w:r>
      <w:r>
        <w:rPr>
          <w:rFonts w:ascii="仿宋" w:eastAsia="仿宋" w:hAnsi="仿宋"/>
          <w:sz w:val="28"/>
          <w:szCs w:val="28"/>
        </w:rPr>
        <w:t>8</w:t>
      </w:r>
      <w:r>
        <w:rPr>
          <w:rFonts w:ascii="仿宋" w:eastAsia="仿宋" w:hAnsi="仿宋" w:hint="eastAsia"/>
          <w:sz w:val="28"/>
          <w:szCs w:val="28"/>
        </w:rPr>
        <w:t>日下午2:</w:t>
      </w:r>
      <w:r>
        <w:rPr>
          <w:rFonts w:ascii="仿宋" w:eastAsia="仿宋" w:hAnsi="仿宋"/>
          <w:sz w:val="28"/>
          <w:szCs w:val="28"/>
        </w:rPr>
        <w:t>30</w:t>
      </w:r>
      <w:r>
        <w:rPr>
          <w:rFonts w:ascii="仿宋" w:eastAsia="仿宋" w:hAnsi="仿宋" w:hint="eastAsia"/>
          <w:sz w:val="28"/>
          <w:szCs w:val="28"/>
        </w:rPr>
        <w:t>在永嘉法院第十一审判庭召开第一次债权人会议。</w:t>
      </w:r>
      <w:r w:rsidRPr="00820590">
        <w:rPr>
          <w:rFonts w:ascii="仿宋" w:eastAsia="仿宋" w:hAnsi="仿宋" w:hint="eastAsia"/>
          <w:sz w:val="28"/>
          <w:szCs w:val="28"/>
        </w:rPr>
        <w:t>依法申报债权的债权人有权参加债权人会议。参加会议的债权人如系自然人的，应提交有效身份证件；如系法人或其他组织的，应提交营业执照、法定代表人或负责人身份证明书。如委托代理人出席会议，应提交特别授权委托书、委托</w:t>
      </w:r>
      <w:r w:rsidRPr="00820590">
        <w:rPr>
          <w:rFonts w:ascii="仿宋" w:eastAsia="仿宋" w:hAnsi="仿宋" w:hint="eastAsia"/>
          <w:sz w:val="28"/>
          <w:szCs w:val="28"/>
        </w:rPr>
        <w:lastRenderedPageBreak/>
        <w:t>代理人的身份证件或律师执业证，委托代理人是律师的还应提交律师事务所的指派函。</w:t>
      </w:r>
    </w:p>
    <w:p w14:paraId="3B5C62A8" w14:textId="21FB8B13" w:rsidR="00403DDE" w:rsidRDefault="00000000">
      <w:pPr>
        <w:spacing w:line="640" w:lineRule="exact"/>
        <w:ind w:firstLineChars="200" w:firstLine="560"/>
        <w:rPr>
          <w:rFonts w:ascii="仿宋" w:eastAsia="仿宋" w:hAnsi="仿宋"/>
          <w:sz w:val="28"/>
          <w:szCs w:val="28"/>
        </w:rPr>
      </w:pPr>
      <w:r>
        <w:rPr>
          <w:rFonts w:ascii="仿宋" w:eastAsia="仿宋" w:hAnsi="仿宋" w:hint="eastAsia"/>
          <w:sz w:val="28"/>
          <w:szCs w:val="28"/>
        </w:rPr>
        <w:t>特此通知</w:t>
      </w:r>
      <w:r w:rsidR="00820590">
        <w:rPr>
          <w:rFonts w:ascii="仿宋" w:eastAsia="仿宋" w:hAnsi="仿宋" w:hint="eastAsia"/>
          <w:sz w:val="28"/>
          <w:szCs w:val="28"/>
        </w:rPr>
        <w:t>。</w:t>
      </w:r>
    </w:p>
    <w:p w14:paraId="624192B5" w14:textId="77777777" w:rsidR="00403DDE" w:rsidRDefault="00403DDE">
      <w:pPr>
        <w:spacing w:line="640" w:lineRule="exact"/>
        <w:rPr>
          <w:rFonts w:ascii="仿宋" w:eastAsia="仿宋" w:hAnsi="仿宋"/>
          <w:sz w:val="28"/>
          <w:szCs w:val="28"/>
        </w:rPr>
      </w:pPr>
    </w:p>
    <w:p w14:paraId="5B7C8DCF" w14:textId="08F6E964" w:rsidR="00820590" w:rsidRDefault="00820590">
      <w:pPr>
        <w:spacing w:line="640" w:lineRule="exact"/>
        <w:jc w:val="right"/>
        <w:rPr>
          <w:rFonts w:ascii="仿宋" w:eastAsia="仿宋" w:hAnsi="仿宋"/>
          <w:sz w:val="28"/>
          <w:szCs w:val="28"/>
        </w:rPr>
      </w:pPr>
      <w:r>
        <w:rPr>
          <w:rFonts w:ascii="仿宋" w:eastAsia="仿宋" w:hAnsi="仿宋" w:hint="eastAsia"/>
          <w:sz w:val="28"/>
          <w:szCs w:val="28"/>
        </w:rPr>
        <w:t>温州鹏程控股集团有限公司管理人</w:t>
      </w:r>
    </w:p>
    <w:p w14:paraId="08A61521" w14:textId="78A4450F" w:rsidR="00403DDE" w:rsidRDefault="00000000">
      <w:pPr>
        <w:spacing w:line="640" w:lineRule="exact"/>
        <w:jc w:val="right"/>
        <w:rPr>
          <w:rFonts w:ascii="仿宋" w:eastAsia="仿宋" w:hAnsi="仿宋"/>
          <w:sz w:val="28"/>
          <w:szCs w:val="28"/>
        </w:rPr>
      </w:pPr>
      <w:r>
        <w:rPr>
          <w:rFonts w:ascii="仿宋" w:eastAsia="仿宋" w:hAnsi="仿宋" w:hint="eastAsia"/>
          <w:sz w:val="28"/>
          <w:szCs w:val="28"/>
        </w:rPr>
        <w:t>二〇</w:t>
      </w:r>
      <w:r w:rsidR="00820590">
        <w:rPr>
          <w:rFonts w:ascii="仿宋" w:eastAsia="仿宋" w:hAnsi="仿宋" w:hint="eastAsia"/>
          <w:sz w:val="28"/>
          <w:szCs w:val="28"/>
        </w:rPr>
        <w:t>二三</w:t>
      </w:r>
      <w:r>
        <w:rPr>
          <w:rFonts w:ascii="仿宋" w:eastAsia="仿宋" w:hAnsi="仿宋" w:hint="eastAsia"/>
          <w:sz w:val="28"/>
          <w:szCs w:val="28"/>
        </w:rPr>
        <w:t>年十月</w:t>
      </w:r>
      <w:r w:rsidR="00820590">
        <w:rPr>
          <w:rFonts w:ascii="仿宋" w:eastAsia="仿宋" w:hAnsi="仿宋" w:hint="eastAsia"/>
          <w:sz w:val="28"/>
          <w:szCs w:val="28"/>
        </w:rPr>
        <w:t>十九</w:t>
      </w:r>
      <w:r>
        <w:rPr>
          <w:rFonts w:ascii="仿宋" w:eastAsia="仿宋" w:hAnsi="仿宋" w:hint="eastAsia"/>
          <w:sz w:val="28"/>
          <w:szCs w:val="28"/>
        </w:rPr>
        <w:t>日</w:t>
      </w:r>
    </w:p>
    <w:sectPr w:rsidR="00403D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33"/>
    <w:rsid w:val="00031D7D"/>
    <w:rsid w:val="00045FF1"/>
    <w:rsid w:val="0007083A"/>
    <w:rsid w:val="00130807"/>
    <w:rsid w:val="001D57DB"/>
    <w:rsid w:val="001E15EC"/>
    <w:rsid w:val="0038464F"/>
    <w:rsid w:val="00397B1E"/>
    <w:rsid w:val="00403DDE"/>
    <w:rsid w:val="0061399A"/>
    <w:rsid w:val="006E6733"/>
    <w:rsid w:val="00771C37"/>
    <w:rsid w:val="007F5259"/>
    <w:rsid w:val="00814051"/>
    <w:rsid w:val="00820590"/>
    <w:rsid w:val="00855594"/>
    <w:rsid w:val="008C10D9"/>
    <w:rsid w:val="008F4405"/>
    <w:rsid w:val="009D037F"/>
    <w:rsid w:val="00A02203"/>
    <w:rsid w:val="00A3215B"/>
    <w:rsid w:val="00AA32EF"/>
    <w:rsid w:val="00AD6BBF"/>
    <w:rsid w:val="00AF7C8D"/>
    <w:rsid w:val="00B32D1F"/>
    <w:rsid w:val="00C17A4D"/>
    <w:rsid w:val="00CC4605"/>
    <w:rsid w:val="00CC4FB4"/>
    <w:rsid w:val="00CD1E5A"/>
    <w:rsid w:val="00D07EF9"/>
    <w:rsid w:val="00DA552E"/>
    <w:rsid w:val="00DD1A40"/>
    <w:rsid w:val="00F02E51"/>
    <w:rsid w:val="00F50B9A"/>
    <w:rsid w:val="00F61E47"/>
    <w:rsid w:val="00F92D68"/>
    <w:rsid w:val="02AC72DC"/>
    <w:rsid w:val="10586B08"/>
    <w:rsid w:val="3BE84DB8"/>
    <w:rsid w:val="5566226B"/>
    <w:rsid w:val="5643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61A3"/>
  <w15:docId w15:val="{BC6C6B5B-F0F3-4939-BBF3-FD92C236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66454958@qq.com</dc:creator>
  <cp:lastModifiedBy>均敏 孙</cp:lastModifiedBy>
  <cp:revision>29</cp:revision>
  <dcterms:created xsi:type="dcterms:W3CDTF">2018-04-10T09:09:00Z</dcterms:created>
  <dcterms:modified xsi:type="dcterms:W3CDTF">2023-10-19T12:50:00Z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