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eastAsia="仿宋" w:cs="Arial Unicode MS"/>
          <w:b/>
          <w:bCs/>
          <w:lang w:val="en-US" w:eastAsia="zh-CN"/>
        </w:rPr>
      </w:pPr>
      <w:r>
        <w:rPr>
          <w:rFonts w:hint="eastAsia" w:cs="Arial Unicode MS"/>
          <w:b/>
          <w:bCs/>
        </w:rPr>
        <w:t>诸暨思尔投资有限公司</w:t>
      </w:r>
      <w:r>
        <w:rPr>
          <w:rFonts w:hint="eastAsia" w:cs="Arial Unicode MS"/>
          <w:b/>
          <w:bCs/>
          <w:lang w:val="en-US" w:eastAsia="zh-CN"/>
        </w:rPr>
        <w:t>破产清算案</w:t>
      </w:r>
      <w:r>
        <w:rPr>
          <w:rFonts w:hint="eastAsia" w:cs="Arial Unicode MS"/>
          <w:b/>
          <w:bCs/>
        </w:rPr>
        <w:t>职工债权情况</w:t>
      </w:r>
      <w:r>
        <w:rPr>
          <w:rFonts w:hint="eastAsia" w:cs="Arial Unicode MS"/>
          <w:b/>
          <w:bCs/>
          <w:lang w:val="en-US" w:eastAsia="zh-CN"/>
        </w:rPr>
        <w:t>说明</w:t>
      </w:r>
    </w:p>
    <w:p>
      <w:pPr>
        <w:snapToGrid w:val="0"/>
        <w:spacing w:line="400" w:lineRule="exact"/>
        <w:ind w:firstLine="420"/>
        <w:rPr>
          <w:rFonts w:hint="eastAsia" w:cs="Arial Unicode MS"/>
        </w:rPr>
      </w:pPr>
    </w:p>
    <w:p>
      <w:pPr>
        <w:snapToGrid w:val="0"/>
        <w:spacing w:line="400" w:lineRule="exact"/>
        <w:ind w:firstLine="420"/>
        <w:rPr>
          <w:rFonts w:cs="Arial Unicode MS"/>
        </w:rPr>
      </w:pPr>
      <w:r>
        <w:rPr>
          <w:rFonts w:hint="eastAsia" w:cs="Arial Unicode MS"/>
        </w:rPr>
        <w:t>管理人结合接管的债务人账册资料及向债务人负责人王迪尔了解到的情况，对职工债权进行了主动调查，并已通过张贴在债务人住所地、管理人网页进行了公示,详见职工债权表。</w:t>
      </w:r>
    </w:p>
    <w:p>
      <w:pPr>
        <w:snapToGrid w:val="0"/>
        <w:spacing w:line="400" w:lineRule="exact"/>
        <w:ind w:firstLine="420"/>
        <w:rPr>
          <w:rFonts w:hint="eastAsia" w:cs="Arial Unicode MS"/>
        </w:rPr>
      </w:pPr>
      <w:r>
        <w:rPr>
          <w:rFonts w:hint="eastAsia" w:cs="Arial Unicode MS"/>
        </w:rPr>
        <w:t>需要说明的是，8位职工债权人中，除依法可以认定为职工债权金额外，另因</w:t>
      </w:r>
      <w:r>
        <w:rPr>
          <w:rFonts w:hint="eastAsia" w:cs="Arial Unicode MS"/>
          <w:lang w:val="en-US" w:eastAsia="zh-CN"/>
        </w:rPr>
        <w:t>在债务人因经营情况陷入困难时，无法按劳动合同约定按时发放劳动报酬，故向每一位欠薪员工出具了一张欠条并记载了欠薪金额，管理人向债务人负责人核实相关情况后，依照《企业破产法》、《劳动法》等相关法律规定，对职工工资、补偿金金额进行了相应调整，对于欠条金额超出可认定为职工债权的部分</w:t>
      </w:r>
      <w:r>
        <w:rPr>
          <w:rFonts w:hint="eastAsia" w:cs="Arial Unicode MS"/>
        </w:rPr>
        <w:t>，</w:t>
      </w:r>
      <w:r>
        <w:rPr>
          <w:rFonts w:hint="eastAsia" w:cs="Arial Unicode MS"/>
          <w:lang w:val="en-US" w:eastAsia="zh-CN"/>
        </w:rPr>
        <w:t>超出的</w:t>
      </w:r>
      <w:r>
        <w:rPr>
          <w:rFonts w:hint="eastAsia" w:cs="Arial Unicode MS"/>
        </w:rPr>
        <w:t>相应金额转入普通债权。</w:t>
      </w:r>
    </w:p>
    <w:p>
      <w:pPr>
        <w:snapToGrid w:val="0"/>
        <w:spacing w:line="400" w:lineRule="exact"/>
        <w:rPr>
          <w:rFonts w:hint="eastAsia" w:cs="Arial Unicode MS"/>
        </w:rPr>
      </w:pPr>
    </w:p>
    <w:p>
      <w:pPr>
        <w:snapToGrid w:val="0"/>
        <w:spacing w:line="400" w:lineRule="exact"/>
        <w:ind w:firstLine="420"/>
        <w:rPr>
          <w:rFonts w:cs="Arial Unicode MS"/>
        </w:rPr>
      </w:pPr>
    </w:p>
    <w:p>
      <w:pPr>
        <w:snapToGrid w:val="0"/>
        <w:spacing w:line="400" w:lineRule="exact"/>
        <w:ind w:firstLine="420"/>
        <w:jc w:val="right"/>
        <w:rPr>
          <w:rFonts w:hint="eastAsia" w:cs="Arial Unicode MS"/>
        </w:rPr>
        <w:sectPr>
          <w:pgSz w:w="11906" w:h="16838"/>
          <w:pgMar w:top="1440" w:right="1800" w:bottom="1440" w:left="1800" w:header="851" w:footer="992" w:gutter="0"/>
          <w:cols w:space="425" w:num="1"/>
          <w:docGrid w:type="lines" w:linePitch="312" w:charSpace="0"/>
        </w:sectPr>
      </w:pPr>
      <w:r>
        <w:rPr>
          <w:rFonts w:hint="eastAsia" w:cs="Arial Unicode MS"/>
        </w:rPr>
        <w:t>诸暨思尔投资有限公司管理人</w:t>
      </w:r>
    </w:p>
    <w:p>
      <w:pPr>
        <w:pStyle w:val="2"/>
        <w:snapToGrid w:val="0"/>
        <w:spacing w:before="0" w:after="0" w:line="380" w:lineRule="exact"/>
        <w:jc w:val="left"/>
        <w:rPr>
          <w:rFonts w:ascii="仿宋" w:hAnsi="仿宋"/>
          <w:sz w:val="28"/>
          <w:szCs w:val="28"/>
        </w:rPr>
      </w:pPr>
      <w:r>
        <w:rPr>
          <w:rFonts w:hint="eastAsia" w:ascii="仿宋" w:hAnsi="仿宋"/>
          <w:b/>
          <w:sz w:val="28"/>
          <w:szCs w:val="28"/>
          <w:lang w:val="en-US" w:eastAsia="zh-CN"/>
        </w:rPr>
        <w:t>附：</w:t>
      </w:r>
      <w:r>
        <w:rPr>
          <w:rFonts w:hint="eastAsia" w:ascii="仿宋" w:hAnsi="仿宋"/>
          <w:b/>
          <w:sz w:val="28"/>
          <w:szCs w:val="28"/>
        </w:rPr>
        <w:t>诸暨思尔投资有限公司破产清算案职工债权表</w:t>
      </w:r>
    </w:p>
    <w:p>
      <w:pPr>
        <w:pStyle w:val="2"/>
        <w:snapToGrid w:val="0"/>
        <w:spacing w:before="0" w:after="0" w:line="380" w:lineRule="exact"/>
        <w:jc w:val="left"/>
        <w:rPr>
          <w:rFonts w:hint="eastAsia" w:ascii="仿宋" w:hAnsi="仿宋" w:eastAsia="仿宋"/>
          <w:b/>
          <w:sz w:val="32"/>
          <w:szCs w:val="32"/>
          <w:lang w:val="en-US" w:eastAsia="zh-CN"/>
        </w:rPr>
      </w:pPr>
    </w:p>
    <w:p>
      <w:pPr>
        <w:pStyle w:val="2"/>
        <w:snapToGrid w:val="0"/>
        <w:spacing w:before="0" w:after="0" w:line="380" w:lineRule="exact"/>
        <w:jc w:val="center"/>
        <w:rPr>
          <w:rFonts w:ascii="仿宋" w:hAnsi="仿宋"/>
          <w:szCs w:val="21"/>
        </w:rPr>
      </w:pPr>
      <w:r>
        <w:rPr>
          <w:rFonts w:hint="eastAsia" w:ascii="仿宋" w:hAnsi="仿宋"/>
          <w:b/>
          <w:sz w:val="32"/>
          <w:szCs w:val="32"/>
        </w:rPr>
        <w:t>诸暨思尔投资有限公司破产清算案职工债权表</w:t>
      </w:r>
    </w:p>
    <w:p>
      <w:pPr>
        <w:ind w:left="-145" w:leftChars="-52" w:right="-476" w:rightChars="-170" w:hanging="1" w:hangingChars="1"/>
        <w:rPr>
          <w:sz w:val="18"/>
          <w:szCs w:val="18"/>
        </w:rPr>
      </w:pPr>
      <w:r>
        <w:rPr>
          <w:rFonts w:hint="eastAsia" w:cs="宋体"/>
          <w:sz w:val="18"/>
          <w:szCs w:val="18"/>
        </w:rPr>
        <w:t>截止时间：</w:t>
      </w:r>
      <w:r>
        <w:rPr>
          <w:rFonts w:cs="宋体"/>
          <w:sz w:val="18"/>
          <w:szCs w:val="18"/>
        </w:rPr>
        <w:t>20</w:t>
      </w:r>
      <w:r>
        <w:rPr>
          <w:rFonts w:hint="eastAsia" w:cs="宋体"/>
          <w:sz w:val="18"/>
          <w:szCs w:val="18"/>
        </w:rPr>
        <w:t>2</w:t>
      </w:r>
      <w:r>
        <w:rPr>
          <w:rFonts w:cs="宋体"/>
          <w:sz w:val="18"/>
          <w:szCs w:val="18"/>
        </w:rPr>
        <w:t>3</w:t>
      </w:r>
      <w:r>
        <w:rPr>
          <w:rFonts w:hint="eastAsia" w:cs="宋体"/>
          <w:sz w:val="18"/>
          <w:szCs w:val="18"/>
        </w:rPr>
        <w:t>年 9月30日</w:t>
      </w:r>
      <w:r>
        <w:rPr>
          <w:rFonts w:cs="宋体"/>
          <w:sz w:val="18"/>
          <w:szCs w:val="18"/>
        </w:rPr>
        <w:t xml:space="preserve">                                            </w:t>
      </w:r>
      <w:r>
        <w:rPr>
          <w:rFonts w:hint="eastAsia" w:cs="宋体"/>
          <w:sz w:val="18"/>
          <w:szCs w:val="18"/>
        </w:rPr>
        <w:t xml:space="preserve">                                                                    单位：人民币元</w:t>
      </w:r>
    </w:p>
    <w:tbl>
      <w:tblPr>
        <w:tblStyle w:val="3"/>
        <w:tblW w:w="4999" w:type="pct"/>
        <w:tblInd w:w="0" w:type="dxa"/>
        <w:tblLayout w:type="autofit"/>
        <w:tblCellMar>
          <w:top w:w="0" w:type="dxa"/>
          <w:left w:w="108" w:type="dxa"/>
          <w:bottom w:w="0" w:type="dxa"/>
          <w:right w:w="108" w:type="dxa"/>
        </w:tblCellMar>
      </w:tblPr>
      <w:tblGrid>
        <w:gridCol w:w="578"/>
        <w:gridCol w:w="1706"/>
        <w:gridCol w:w="1981"/>
        <w:gridCol w:w="1981"/>
        <w:gridCol w:w="1981"/>
        <w:gridCol w:w="1981"/>
        <w:gridCol w:w="1981"/>
        <w:gridCol w:w="1982"/>
      </w:tblGrid>
      <w:tr>
        <w:tblPrEx>
          <w:tblCellMar>
            <w:top w:w="0" w:type="dxa"/>
            <w:left w:w="108" w:type="dxa"/>
            <w:bottom w:w="0" w:type="dxa"/>
            <w:right w:w="108" w:type="dxa"/>
          </w:tblCellMar>
        </w:tblPrEx>
        <w:trPr>
          <w:trHeight w:val="340" w:hRule="atLeast"/>
        </w:trPr>
        <w:tc>
          <w:tcPr>
            <w:tcW w:w="184" w:type="pc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textAlignment w:val="center"/>
              <w:rPr>
                <w:b/>
                <w:bCs/>
                <w:color w:val="000000"/>
                <w:sz w:val="18"/>
                <w:szCs w:val="18"/>
              </w:rPr>
            </w:pPr>
            <w:r>
              <w:rPr>
                <w:rFonts w:hint="eastAsia"/>
                <w:b/>
                <w:bCs/>
                <w:color w:val="000000"/>
                <w:sz w:val="18"/>
                <w:szCs w:val="18"/>
                <w:lang w:bidi="ar"/>
              </w:rPr>
              <w:t>序号</w:t>
            </w:r>
          </w:p>
        </w:tc>
        <w:tc>
          <w:tcPr>
            <w:tcW w:w="604"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lang w:bidi="ar"/>
              </w:rPr>
              <w:t>姓名</w:t>
            </w:r>
          </w:p>
        </w:tc>
        <w:tc>
          <w:tcPr>
            <w:tcW w:w="701"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rPr>
              <w:t>工作时间（年）</w:t>
            </w:r>
          </w:p>
        </w:tc>
        <w:tc>
          <w:tcPr>
            <w:tcW w:w="701"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rPr>
              <w:t>欠薪时长（月）</w:t>
            </w:r>
          </w:p>
        </w:tc>
        <w:tc>
          <w:tcPr>
            <w:tcW w:w="701"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rPr>
              <w:t>欠付工资（元）</w:t>
            </w:r>
          </w:p>
        </w:tc>
        <w:tc>
          <w:tcPr>
            <w:tcW w:w="701"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rPr>
              <w:t>补偿金（元）</w:t>
            </w:r>
          </w:p>
        </w:tc>
        <w:tc>
          <w:tcPr>
            <w:tcW w:w="701"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rPr>
              <w:t>职工债权金额合计（元）</w:t>
            </w:r>
          </w:p>
        </w:tc>
        <w:tc>
          <w:tcPr>
            <w:tcW w:w="701" w:type="pct"/>
            <w:tcBorders>
              <w:top w:val="single" w:color="auto" w:sz="8" w:space="0"/>
              <w:left w:val="single" w:color="auto" w:sz="8" w:space="0"/>
              <w:bottom w:val="single" w:color="000000" w:sz="8" w:space="0"/>
              <w:right w:val="single" w:color="auto" w:sz="8" w:space="0"/>
            </w:tcBorders>
            <w:shd w:val="clear" w:color="auto" w:fill="auto"/>
            <w:vAlign w:val="center"/>
          </w:tcPr>
          <w:p>
            <w:pPr>
              <w:jc w:val="center"/>
              <w:textAlignment w:val="center"/>
              <w:rPr>
                <w:b/>
                <w:bCs/>
                <w:color w:val="000000"/>
                <w:sz w:val="18"/>
                <w:szCs w:val="18"/>
              </w:rPr>
            </w:pPr>
            <w:r>
              <w:rPr>
                <w:rFonts w:hint="eastAsia"/>
                <w:b/>
                <w:bCs/>
                <w:color w:val="000000"/>
                <w:sz w:val="18"/>
                <w:szCs w:val="18"/>
              </w:rPr>
              <w:t>转入普通债权金额（元）</w:t>
            </w:r>
          </w:p>
        </w:tc>
      </w:tr>
      <w:tr>
        <w:tblPrEx>
          <w:tblCellMar>
            <w:top w:w="0" w:type="dxa"/>
            <w:left w:w="108" w:type="dxa"/>
            <w:bottom w:w="0" w:type="dxa"/>
            <w:right w:w="108" w:type="dxa"/>
          </w:tblCellMar>
        </w:tblPrEx>
        <w:trPr>
          <w:trHeight w:val="357" w:hRule="atLeast"/>
        </w:trPr>
        <w:tc>
          <w:tcPr>
            <w:tcW w:w="184" w:type="pct"/>
            <w:tcBorders>
              <w:top w:val="single" w:color="auto" w:sz="8" w:space="0"/>
              <w:left w:val="single" w:color="auto" w:sz="8" w:space="0"/>
              <w:bottom w:val="single" w:color="000000" w:sz="8" w:space="0"/>
              <w:right w:val="single" w:color="auto" w:sz="8" w:space="0"/>
            </w:tcBorders>
            <w:vAlign w:val="bottom"/>
          </w:tcPr>
          <w:p>
            <w:pPr>
              <w:jc w:val="center"/>
              <w:textAlignment w:val="bottom"/>
              <w:rPr>
                <w:b/>
                <w:bCs/>
                <w:color w:val="000000"/>
                <w:sz w:val="18"/>
                <w:szCs w:val="18"/>
              </w:rPr>
            </w:pPr>
            <w:r>
              <w:rPr>
                <w:rFonts w:hint="eastAsia"/>
                <w:color w:val="000000"/>
                <w:sz w:val="18"/>
                <w:szCs w:val="18"/>
                <w:lang w:bidi="ar"/>
              </w:rPr>
              <w:t>1</w:t>
            </w:r>
          </w:p>
        </w:tc>
        <w:tc>
          <w:tcPr>
            <w:tcW w:w="604"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b/>
                <w:bCs/>
                <w:color w:val="000000"/>
                <w:sz w:val="18"/>
                <w:szCs w:val="18"/>
              </w:rPr>
            </w:pPr>
            <w:r>
              <w:rPr>
                <w:rFonts w:hint="eastAsia"/>
                <w:color w:val="000000"/>
                <w:sz w:val="18"/>
                <w:szCs w:val="18"/>
                <w:lang w:bidi="ar"/>
              </w:rPr>
              <w:t>何军</w:t>
            </w:r>
          </w:p>
        </w:tc>
        <w:tc>
          <w:tcPr>
            <w:tcW w:w="701"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b/>
                <w:bCs/>
                <w:color w:val="000000"/>
                <w:sz w:val="18"/>
                <w:szCs w:val="18"/>
              </w:rPr>
            </w:pPr>
            <w:r>
              <w:rPr>
                <w:rFonts w:hint="eastAsia"/>
                <w:color w:val="000000"/>
                <w:sz w:val="18"/>
                <w:szCs w:val="18"/>
                <w:lang w:bidi="ar"/>
              </w:rPr>
              <w:t>2.5</w:t>
            </w:r>
          </w:p>
        </w:tc>
        <w:tc>
          <w:tcPr>
            <w:tcW w:w="701"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color w:val="000000"/>
                <w:sz w:val="18"/>
                <w:szCs w:val="18"/>
                <w:lang w:bidi="ar"/>
              </w:rPr>
            </w:pPr>
            <w:r>
              <w:rPr>
                <w:rFonts w:hint="eastAsia"/>
                <w:color w:val="000000"/>
                <w:sz w:val="18"/>
                <w:szCs w:val="18"/>
                <w:lang w:bidi="ar"/>
              </w:rPr>
              <w:t>22</w:t>
            </w:r>
          </w:p>
        </w:tc>
        <w:tc>
          <w:tcPr>
            <w:tcW w:w="701"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color w:val="000000"/>
                <w:sz w:val="18"/>
                <w:szCs w:val="18"/>
                <w:lang w:bidi="ar"/>
              </w:rPr>
            </w:pPr>
            <w:r>
              <w:rPr>
                <w:rFonts w:hint="eastAsia"/>
                <w:color w:val="000000"/>
                <w:sz w:val="18"/>
                <w:szCs w:val="18"/>
                <w:lang w:bidi="ar"/>
              </w:rPr>
              <w:t>245674.00</w:t>
            </w:r>
          </w:p>
        </w:tc>
        <w:tc>
          <w:tcPr>
            <w:tcW w:w="701"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color w:val="000000"/>
                <w:sz w:val="18"/>
                <w:szCs w:val="18"/>
                <w:lang w:bidi="ar"/>
              </w:rPr>
            </w:pPr>
            <w:r>
              <w:rPr>
                <w:rFonts w:hint="eastAsia"/>
                <w:color w:val="000000"/>
                <w:sz w:val="18"/>
                <w:szCs w:val="18"/>
                <w:lang w:bidi="ar"/>
              </w:rPr>
              <w:t xml:space="preserve">31854.38 </w:t>
            </w:r>
          </w:p>
        </w:tc>
        <w:tc>
          <w:tcPr>
            <w:tcW w:w="701"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color w:val="000000"/>
                <w:sz w:val="18"/>
                <w:szCs w:val="18"/>
                <w:lang w:bidi="ar"/>
              </w:rPr>
            </w:pPr>
            <w:r>
              <w:rPr>
                <w:rFonts w:hint="eastAsia"/>
                <w:color w:val="000000"/>
                <w:sz w:val="18"/>
                <w:szCs w:val="18"/>
                <w:lang w:bidi="ar"/>
              </w:rPr>
              <w:t xml:space="preserve">277528.38 </w:t>
            </w:r>
          </w:p>
        </w:tc>
        <w:tc>
          <w:tcPr>
            <w:tcW w:w="701" w:type="pct"/>
            <w:tcBorders>
              <w:top w:val="single" w:color="auto" w:sz="8" w:space="0"/>
              <w:left w:val="single" w:color="auto" w:sz="8" w:space="0"/>
              <w:bottom w:val="single" w:color="000000" w:sz="8" w:space="0"/>
              <w:right w:val="single" w:color="auto" w:sz="8" w:space="0"/>
            </w:tcBorders>
            <w:vAlign w:val="center"/>
          </w:tcPr>
          <w:p>
            <w:pPr>
              <w:jc w:val="center"/>
              <w:textAlignment w:val="center"/>
              <w:rPr>
                <w:color w:val="000000"/>
                <w:sz w:val="18"/>
                <w:szCs w:val="18"/>
                <w:lang w:bidi="ar"/>
              </w:rPr>
            </w:pPr>
            <w:r>
              <w:rPr>
                <w:rFonts w:hint="eastAsia"/>
                <w:color w:val="000000"/>
                <w:sz w:val="18"/>
                <w:szCs w:val="18"/>
                <w:lang w:bidi="ar"/>
              </w:rPr>
              <w:t xml:space="preserve">1011971.63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single" w:color="auto" w:sz="8" w:space="0"/>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2</w:t>
            </w:r>
          </w:p>
        </w:tc>
        <w:tc>
          <w:tcPr>
            <w:tcW w:w="604" w:type="pct"/>
            <w:tcBorders>
              <w:top w:val="nil"/>
              <w:left w:val="nil"/>
              <w:bottom w:val="single" w:color="auto" w:sz="8" w:space="0"/>
              <w:right w:val="single" w:color="auto" w:sz="8" w:space="0"/>
            </w:tcBorders>
            <w:shd w:val="clear" w:color="auto" w:fill="auto"/>
            <w:noWrap/>
            <w:vAlign w:val="center"/>
          </w:tcPr>
          <w:p>
            <w:pPr>
              <w:jc w:val="center"/>
              <w:textAlignment w:val="center"/>
              <w:rPr>
                <w:color w:val="000000"/>
                <w:sz w:val="18"/>
                <w:szCs w:val="18"/>
                <w:lang w:eastAsia="zh-TW"/>
              </w:rPr>
            </w:pPr>
            <w:r>
              <w:rPr>
                <w:rFonts w:hint="eastAsia"/>
                <w:color w:val="000000"/>
                <w:sz w:val="18"/>
                <w:szCs w:val="18"/>
                <w:lang w:bidi="ar"/>
              </w:rPr>
              <w:t>周锡锋</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3.5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223340.00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44596.13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267936.13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985229.88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single" w:color="auto" w:sz="8" w:space="0"/>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3</w:t>
            </w:r>
          </w:p>
        </w:tc>
        <w:tc>
          <w:tcPr>
            <w:tcW w:w="604" w:type="pct"/>
            <w:tcBorders>
              <w:top w:val="nil"/>
              <w:left w:val="nil"/>
              <w:bottom w:val="single" w:color="auto" w:sz="8" w:space="0"/>
              <w:right w:val="single" w:color="auto" w:sz="8" w:space="0"/>
            </w:tcBorders>
            <w:shd w:val="clear" w:color="auto" w:fill="auto"/>
            <w:noWrap/>
            <w:vAlign w:val="center"/>
          </w:tcPr>
          <w:p>
            <w:pPr>
              <w:jc w:val="center"/>
              <w:textAlignment w:val="center"/>
              <w:rPr>
                <w:color w:val="000000"/>
                <w:sz w:val="18"/>
                <w:szCs w:val="18"/>
              </w:rPr>
            </w:pPr>
            <w:r>
              <w:rPr>
                <w:rFonts w:hint="eastAsia"/>
                <w:color w:val="000000"/>
                <w:sz w:val="18"/>
                <w:szCs w:val="18"/>
                <w:lang w:bidi="ar"/>
              </w:rPr>
              <w:t>陈江</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2.5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223340.00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31854.38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255194.38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569605.63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single" w:color="auto" w:sz="8" w:space="0"/>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4</w:t>
            </w:r>
          </w:p>
        </w:tc>
        <w:tc>
          <w:tcPr>
            <w:tcW w:w="604" w:type="pct"/>
            <w:tcBorders>
              <w:top w:val="nil"/>
              <w:left w:val="nil"/>
              <w:bottom w:val="single" w:color="auto" w:sz="8" w:space="0"/>
              <w:right w:val="single" w:color="auto" w:sz="8" w:space="0"/>
            </w:tcBorders>
            <w:shd w:val="clear" w:color="auto" w:fill="auto"/>
            <w:noWrap/>
            <w:vAlign w:val="center"/>
          </w:tcPr>
          <w:p>
            <w:pPr>
              <w:jc w:val="center"/>
              <w:textAlignment w:val="center"/>
              <w:rPr>
                <w:color w:val="000000"/>
                <w:sz w:val="18"/>
                <w:szCs w:val="18"/>
              </w:rPr>
            </w:pPr>
            <w:r>
              <w:rPr>
                <w:rFonts w:hint="eastAsia"/>
                <w:color w:val="000000"/>
                <w:sz w:val="18"/>
                <w:szCs w:val="18"/>
                <w:lang w:bidi="ar"/>
              </w:rPr>
              <w:t>金冬萍</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3.5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166660.00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29165.50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195825.50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49174.50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single" w:color="auto" w:sz="8" w:space="0"/>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5</w:t>
            </w:r>
          </w:p>
        </w:tc>
        <w:tc>
          <w:tcPr>
            <w:tcW w:w="604" w:type="pct"/>
            <w:tcBorders>
              <w:top w:val="nil"/>
              <w:left w:val="nil"/>
              <w:bottom w:val="single" w:color="auto" w:sz="8" w:space="0"/>
              <w:right w:val="single" w:color="auto" w:sz="8" w:space="0"/>
            </w:tcBorders>
            <w:shd w:val="clear" w:color="auto" w:fill="auto"/>
            <w:noWrap/>
            <w:vAlign w:val="center"/>
          </w:tcPr>
          <w:p>
            <w:pPr>
              <w:jc w:val="center"/>
              <w:textAlignment w:val="center"/>
              <w:rPr>
                <w:color w:val="000000"/>
                <w:sz w:val="18"/>
                <w:szCs w:val="18"/>
              </w:rPr>
            </w:pPr>
            <w:r>
              <w:rPr>
                <w:rFonts w:hint="eastAsia"/>
                <w:color w:val="000000"/>
                <w:sz w:val="18"/>
                <w:szCs w:val="18"/>
                <w:lang w:bidi="ar"/>
              </w:rPr>
              <w:t>李全</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3.5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250000.00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43750.00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293750.00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127250.00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nil"/>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6</w:t>
            </w:r>
          </w:p>
        </w:tc>
        <w:tc>
          <w:tcPr>
            <w:tcW w:w="604" w:type="pct"/>
            <w:tcBorders>
              <w:top w:val="nil"/>
              <w:left w:val="single" w:color="auto" w:sz="8" w:space="0"/>
              <w:bottom w:val="single" w:color="auto" w:sz="8" w:space="0"/>
              <w:right w:val="single" w:color="auto" w:sz="8" w:space="0"/>
            </w:tcBorders>
            <w:shd w:val="clear" w:color="auto" w:fill="auto"/>
            <w:noWrap/>
            <w:vAlign w:val="center"/>
          </w:tcPr>
          <w:p>
            <w:pPr>
              <w:jc w:val="center"/>
              <w:textAlignment w:val="center"/>
              <w:rPr>
                <w:color w:val="000000"/>
                <w:sz w:val="18"/>
                <w:szCs w:val="18"/>
              </w:rPr>
            </w:pPr>
            <w:r>
              <w:rPr>
                <w:rFonts w:hint="eastAsia"/>
                <w:color w:val="000000"/>
                <w:sz w:val="18"/>
                <w:szCs w:val="18"/>
                <w:lang w:bidi="ar"/>
              </w:rPr>
              <w:t>葛建畅</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3.5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250000.00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43750.00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293750.00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127250.00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nil"/>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7</w:t>
            </w:r>
          </w:p>
        </w:tc>
        <w:tc>
          <w:tcPr>
            <w:tcW w:w="604" w:type="pct"/>
            <w:tcBorders>
              <w:top w:val="nil"/>
              <w:left w:val="single" w:color="auto" w:sz="8" w:space="0"/>
              <w:bottom w:val="single" w:color="auto" w:sz="8" w:space="0"/>
              <w:right w:val="single" w:color="auto" w:sz="8" w:space="0"/>
            </w:tcBorders>
            <w:shd w:val="clear" w:color="auto" w:fill="auto"/>
            <w:noWrap/>
            <w:vAlign w:val="center"/>
          </w:tcPr>
          <w:p>
            <w:pPr>
              <w:jc w:val="center"/>
              <w:textAlignment w:val="center"/>
              <w:rPr>
                <w:color w:val="000000"/>
                <w:sz w:val="18"/>
                <w:szCs w:val="18"/>
              </w:rPr>
            </w:pPr>
            <w:r>
              <w:rPr>
                <w:rFonts w:hint="eastAsia"/>
                <w:color w:val="000000"/>
                <w:sz w:val="18"/>
                <w:szCs w:val="18"/>
                <w:lang w:bidi="ar"/>
              </w:rPr>
              <w:t>何晓军</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2.5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250000.00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31250.00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281250.00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111750.00 </w:t>
            </w:r>
          </w:p>
        </w:tc>
      </w:tr>
      <w:tr>
        <w:tblPrEx>
          <w:tblCellMar>
            <w:top w:w="0" w:type="dxa"/>
            <w:left w:w="108" w:type="dxa"/>
            <w:bottom w:w="0" w:type="dxa"/>
            <w:right w:w="108" w:type="dxa"/>
          </w:tblCellMar>
        </w:tblPrEx>
        <w:trPr>
          <w:trHeight w:val="340" w:hRule="atLeast"/>
        </w:trPr>
        <w:tc>
          <w:tcPr>
            <w:tcW w:w="184" w:type="pct"/>
            <w:tcBorders>
              <w:top w:val="nil"/>
              <w:left w:val="single" w:color="auto" w:sz="8" w:space="0"/>
              <w:bottom w:val="single" w:color="auto" w:sz="8" w:space="0"/>
              <w:right w:val="nil"/>
            </w:tcBorders>
            <w:shd w:val="clear" w:color="auto" w:fill="auto"/>
            <w:noWrap/>
            <w:vAlign w:val="bottom"/>
          </w:tcPr>
          <w:p>
            <w:pPr>
              <w:jc w:val="center"/>
              <w:textAlignment w:val="bottom"/>
              <w:rPr>
                <w:color w:val="000000"/>
                <w:sz w:val="18"/>
                <w:szCs w:val="18"/>
              </w:rPr>
            </w:pPr>
            <w:r>
              <w:rPr>
                <w:rFonts w:hint="eastAsia"/>
                <w:color w:val="000000"/>
                <w:sz w:val="18"/>
                <w:szCs w:val="18"/>
                <w:lang w:bidi="ar"/>
              </w:rPr>
              <w:t>8</w:t>
            </w:r>
          </w:p>
        </w:tc>
        <w:tc>
          <w:tcPr>
            <w:tcW w:w="604" w:type="pct"/>
            <w:tcBorders>
              <w:top w:val="nil"/>
              <w:left w:val="single" w:color="auto" w:sz="8" w:space="0"/>
              <w:bottom w:val="single" w:color="auto" w:sz="8" w:space="0"/>
              <w:right w:val="single" w:color="auto" w:sz="8" w:space="0"/>
            </w:tcBorders>
            <w:shd w:val="clear" w:color="auto" w:fill="auto"/>
            <w:noWrap/>
            <w:vAlign w:val="center"/>
          </w:tcPr>
          <w:p>
            <w:pPr>
              <w:jc w:val="center"/>
              <w:textAlignment w:val="center"/>
              <w:rPr>
                <w:color w:val="000000"/>
                <w:sz w:val="18"/>
                <w:szCs w:val="18"/>
              </w:rPr>
            </w:pPr>
            <w:r>
              <w:rPr>
                <w:rFonts w:hint="eastAsia"/>
                <w:color w:val="000000"/>
                <w:sz w:val="18"/>
                <w:szCs w:val="18"/>
                <w:lang w:bidi="ar"/>
              </w:rPr>
              <w:t>徐柏升</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rPr>
            </w:pPr>
            <w:r>
              <w:rPr>
                <w:rFonts w:hint="eastAsia"/>
                <w:color w:val="000000"/>
                <w:sz w:val="18"/>
                <w:szCs w:val="18"/>
                <w:lang w:bidi="ar"/>
              </w:rPr>
              <w:t>2.5</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200000.00</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25000.00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225000.00 </w:t>
            </w:r>
          </w:p>
        </w:tc>
        <w:tc>
          <w:tcPr>
            <w:tcW w:w="701" w:type="pct"/>
            <w:tcBorders>
              <w:top w:val="nil"/>
              <w:left w:val="nil"/>
              <w:bottom w:val="single" w:color="auto" w:sz="8" w:space="0"/>
              <w:right w:val="single" w:color="auto" w:sz="8" w:space="0"/>
            </w:tcBorders>
            <w:shd w:val="clear" w:color="auto" w:fill="auto"/>
            <w:vAlign w:val="center"/>
          </w:tcPr>
          <w:p>
            <w:pPr>
              <w:jc w:val="center"/>
              <w:textAlignment w:val="center"/>
              <w:rPr>
                <w:color w:val="000000"/>
                <w:sz w:val="18"/>
                <w:szCs w:val="18"/>
                <w:lang w:bidi="ar"/>
              </w:rPr>
            </w:pPr>
            <w:r>
              <w:rPr>
                <w:rFonts w:hint="eastAsia"/>
                <w:color w:val="000000"/>
                <w:sz w:val="18"/>
                <w:szCs w:val="18"/>
                <w:lang w:bidi="ar"/>
              </w:rPr>
              <w:t xml:space="preserve">38000.00 </w:t>
            </w:r>
          </w:p>
        </w:tc>
      </w:tr>
    </w:tbl>
    <w:p>
      <w:pPr>
        <w:snapToGrid w:val="0"/>
        <w:spacing w:line="400" w:lineRule="exact"/>
        <w:ind w:firstLine="420"/>
        <w:jc w:val="right"/>
        <w:rPr>
          <w:rFonts w:cs="Arial Unicode MS"/>
        </w:rPr>
      </w:pPr>
    </w:p>
    <w:p>
      <w:pPr>
        <w:snapToGrid w:val="0"/>
        <w:spacing w:line="400" w:lineRule="exact"/>
        <w:ind w:firstLine="420"/>
        <w:jc w:val="right"/>
        <w:rPr>
          <w:rFonts w:cs="Arial Unicode MS"/>
        </w:rPr>
      </w:pPr>
    </w:p>
    <w:p>
      <w:pPr>
        <w:snapToGrid w:val="0"/>
        <w:spacing w:line="400" w:lineRule="exact"/>
        <w:ind w:firstLine="420"/>
        <w:jc w:val="right"/>
        <w:rPr>
          <w:rFonts w:cs="Arial Unicode MS"/>
        </w:rPr>
      </w:pPr>
    </w:p>
    <w:p>
      <w:pPr>
        <w:snapToGrid w:val="0"/>
        <w:spacing w:line="400" w:lineRule="exact"/>
        <w:ind w:firstLine="420"/>
        <w:jc w:val="right"/>
        <w:rPr>
          <w:rFonts w:cs="Arial Unicode MS"/>
        </w:rPr>
      </w:pPr>
      <w:r>
        <w:rPr>
          <w:rFonts w:hint="eastAsia" w:cs="Arial Unicode MS"/>
        </w:rPr>
        <w:t>诸暨思尔投资有限公司管理人</w:t>
      </w:r>
    </w:p>
    <w:p>
      <w:pPr>
        <w:jc w:val="righ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DYwZmUwY2U0MjgwMDg2Y2Q1OGFjODk1MzlkMDEifQ=="/>
  </w:docVars>
  <w:rsids>
    <w:rsidRoot w:val="6ECC6376"/>
    <w:rsid w:val="6ECC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 w:hAnsi="仿宋" w:eastAsia="仿宋" w:cs="仿宋"/>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72" w:after="72" w:line="336" w:lineRule="auto"/>
    </w:pPr>
    <w:rPr>
      <w:rFonts w:ascii="宋体" w:hAnsi="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2023-10-17T07:48:00Z</dcterms:created>
  <dc:creator>丁翔</dc:creator>
  <cp:lastModifiedBy>丁翔</cp:lastModifiedBy>
  <dcterms:modified xsi:type="dcterms:W3CDTF">2023-10-17T07:50:02Z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0938C6CC1BB44B96A2958938B67C67D9_11</vt:lpwstr>
  </property>
</Properties>
</file>