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0D" w:rsidRPr="009B213B" w:rsidRDefault="0013170D" w:rsidP="00966ADC">
      <w:pPr>
        <w:adjustRightInd w:val="0"/>
        <w:snapToGrid w:val="0"/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13170D">
        <w:rPr>
          <w:rFonts w:ascii="仿宋" w:eastAsia="仿宋" w:hAnsi="仿宋" w:hint="eastAsia"/>
          <w:b/>
          <w:sz w:val="36"/>
          <w:szCs w:val="36"/>
        </w:rPr>
        <w:t>诸暨市新城金鹰房地产开发有限公司</w:t>
      </w:r>
      <w:r w:rsidRPr="009B213B">
        <w:rPr>
          <w:rFonts w:ascii="仿宋" w:eastAsia="仿宋" w:hAnsi="仿宋" w:hint="eastAsia"/>
          <w:b/>
          <w:sz w:val="36"/>
          <w:szCs w:val="36"/>
        </w:rPr>
        <w:t>管理人</w:t>
      </w:r>
    </w:p>
    <w:p w:rsidR="0013170D" w:rsidRDefault="0013170D" w:rsidP="00966ADC">
      <w:pPr>
        <w:adjustRightInd w:val="0"/>
        <w:snapToGrid w:val="0"/>
        <w:spacing w:line="400" w:lineRule="exact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13170D" w:rsidRPr="009B213B" w:rsidRDefault="0013170D" w:rsidP="00966ADC">
      <w:pPr>
        <w:adjustRightInd w:val="0"/>
        <w:snapToGrid w:val="0"/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通</w:t>
      </w:r>
      <w:r w:rsidR="00DB4775"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</w:rPr>
        <w:t>知</w:t>
      </w:r>
      <w:r w:rsidR="00DB4775"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</w:rPr>
        <w:t>书</w:t>
      </w:r>
    </w:p>
    <w:p w:rsidR="0013170D" w:rsidRPr="009B213B" w:rsidRDefault="0013170D" w:rsidP="00966ADC">
      <w:pPr>
        <w:adjustRightInd w:val="0"/>
        <w:snapToGrid w:val="0"/>
        <w:spacing w:line="400" w:lineRule="exact"/>
        <w:rPr>
          <w:rFonts w:ascii="仿宋" w:eastAsia="仿宋" w:hAnsi="仿宋"/>
          <w:sz w:val="30"/>
          <w:szCs w:val="30"/>
        </w:rPr>
      </w:pPr>
    </w:p>
    <w:p w:rsidR="0013170D" w:rsidRPr="0073098B" w:rsidRDefault="0013170D" w:rsidP="00966ADC">
      <w:pPr>
        <w:adjustRightInd w:val="0"/>
        <w:snapToGrid w:val="0"/>
        <w:spacing w:line="400" w:lineRule="exact"/>
        <w:rPr>
          <w:rFonts w:ascii="仿宋" w:eastAsia="仿宋" w:hAnsi="仿宋" w:hint="eastAsia"/>
          <w:b/>
          <w:sz w:val="28"/>
          <w:szCs w:val="28"/>
        </w:rPr>
      </w:pPr>
      <w:r w:rsidRPr="0073098B">
        <w:rPr>
          <w:rFonts w:ascii="仿宋" w:eastAsia="仿宋" w:hAnsi="仿宋" w:hint="eastAsia"/>
          <w:b/>
          <w:sz w:val="28"/>
          <w:szCs w:val="28"/>
        </w:rPr>
        <w:t>各位债权人：</w:t>
      </w:r>
    </w:p>
    <w:p w:rsidR="0073098B" w:rsidRDefault="0073098B" w:rsidP="00966ADC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2"/>
          <w:attr w:name="Year" w:val="2019"/>
        </w:smartTagPr>
        <w:r w:rsidRPr="0073098B">
          <w:rPr>
            <w:rFonts w:ascii="仿宋" w:eastAsia="仿宋" w:hAnsi="仿宋"/>
            <w:sz w:val="28"/>
            <w:szCs w:val="28"/>
          </w:rPr>
          <w:t>2019</w:t>
        </w:r>
        <w:r w:rsidRPr="0073098B">
          <w:rPr>
            <w:rFonts w:ascii="仿宋" w:eastAsia="仿宋" w:hAnsi="仿宋" w:hint="eastAsia"/>
            <w:sz w:val="28"/>
            <w:szCs w:val="28"/>
          </w:rPr>
          <w:t>年</w:t>
        </w:r>
        <w:r w:rsidRPr="0073098B">
          <w:rPr>
            <w:rFonts w:ascii="仿宋" w:eastAsia="仿宋" w:hAnsi="仿宋"/>
            <w:sz w:val="28"/>
            <w:szCs w:val="28"/>
          </w:rPr>
          <w:t>12</w:t>
        </w:r>
        <w:r w:rsidRPr="0073098B">
          <w:rPr>
            <w:rFonts w:ascii="仿宋" w:eastAsia="仿宋" w:hAnsi="仿宋" w:hint="eastAsia"/>
            <w:sz w:val="28"/>
            <w:szCs w:val="28"/>
          </w:rPr>
          <w:t>月</w:t>
        </w:r>
        <w:r w:rsidRPr="0073098B">
          <w:rPr>
            <w:rFonts w:ascii="仿宋" w:eastAsia="仿宋" w:hAnsi="仿宋"/>
            <w:sz w:val="28"/>
            <w:szCs w:val="28"/>
          </w:rPr>
          <w:t>2</w:t>
        </w:r>
        <w:r w:rsidRPr="0073098B">
          <w:rPr>
            <w:rFonts w:ascii="仿宋" w:eastAsia="仿宋" w:hAnsi="仿宋" w:hint="eastAsia"/>
            <w:sz w:val="28"/>
            <w:szCs w:val="28"/>
          </w:rPr>
          <w:t>日</w:t>
        </w:r>
      </w:smartTag>
      <w:r>
        <w:rPr>
          <w:rFonts w:ascii="仿宋" w:eastAsia="仿宋" w:hAnsi="仿宋" w:hint="eastAsia"/>
          <w:sz w:val="28"/>
          <w:szCs w:val="28"/>
        </w:rPr>
        <w:t>，</w:t>
      </w:r>
      <w:r w:rsidR="0013170D" w:rsidRPr="0073098B">
        <w:rPr>
          <w:rFonts w:ascii="仿宋" w:eastAsia="仿宋" w:hAnsi="仿宋" w:hint="eastAsia"/>
          <w:sz w:val="28"/>
          <w:szCs w:val="28"/>
        </w:rPr>
        <w:t>浙江省诸暨市人民法院</w:t>
      </w:r>
      <w:r w:rsidR="0013170D" w:rsidRPr="0073098B">
        <w:rPr>
          <w:rFonts w:ascii="仿宋" w:eastAsia="仿宋" w:hAnsi="仿宋" w:hint="eastAsia"/>
          <w:sz w:val="28"/>
          <w:szCs w:val="28"/>
        </w:rPr>
        <w:t>（下称“诸暨法院”）裁定受理了诸暨市新城金鹰房地产开发有限公司破产清算一案，同时</w:t>
      </w:r>
      <w:r w:rsidR="0013170D" w:rsidRPr="0073098B">
        <w:rPr>
          <w:rFonts w:ascii="仿宋" w:eastAsia="仿宋" w:hAnsi="仿宋" w:hint="eastAsia"/>
          <w:sz w:val="28"/>
          <w:szCs w:val="28"/>
        </w:rPr>
        <w:t>指定浙江大公律师事务所为管理人。</w:t>
      </w:r>
    </w:p>
    <w:p w:rsidR="0013170D" w:rsidRPr="0073098B" w:rsidRDefault="0013170D" w:rsidP="00966ADC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3098B">
        <w:rPr>
          <w:rFonts w:ascii="仿宋" w:eastAsia="仿宋" w:hAnsi="仿宋" w:hint="eastAsia"/>
          <w:sz w:val="28"/>
          <w:szCs w:val="28"/>
        </w:rPr>
        <w:t>2019年12月19日，诸暨法院发出公告，要求债权人在2020年3月16日前向管理人申报债权并确定第一次债权人会议将于2020年3月31日下午14时在该院第二审判庭以现场和网络会议的方式召开。受新冠肺炎疫情影响，债权申报期届满后，管理人就第一次债权人会议召开方式向诸暨法院进行了汇报，诸暨法院认为现阶段新冠肺炎疫情尚未结束，各债权人应全部参加网络会议。为此，管理人特予通知</w:t>
      </w:r>
      <w:r w:rsidR="00DB4775">
        <w:rPr>
          <w:rFonts w:ascii="仿宋" w:eastAsia="仿宋" w:hAnsi="仿宋" w:hint="eastAsia"/>
          <w:sz w:val="28"/>
          <w:szCs w:val="28"/>
        </w:rPr>
        <w:t>，</w:t>
      </w:r>
      <w:r w:rsidR="00DB4775" w:rsidRPr="0073098B">
        <w:rPr>
          <w:rFonts w:ascii="仿宋" w:eastAsia="仿宋" w:hAnsi="仿宋" w:hint="eastAsia"/>
          <w:sz w:val="28"/>
          <w:szCs w:val="28"/>
        </w:rPr>
        <w:t>诸暨市新城金鹰房地产开发有限公司</w:t>
      </w:r>
      <w:r w:rsidR="00DB4775">
        <w:rPr>
          <w:rFonts w:ascii="仿宋" w:eastAsia="仿宋" w:hAnsi="仿宋" w:hint="eastAsia"/>
          <w:sz w:val="28"/>
          <w:szCs w:val="28"/>
        </w:rPr>
        <w:t>破产</w:t>
      </w:r>
      <w:proofErr w:type="gramStart"/>
      <w:r w:rsidR="00DB4775">
        <w:rPr>
          <w:rFonts w:ascii="仿宋" w:eastAsia="仿宋" w:hAnsi="仿宋" w:hint="eastAsia"/>
          <w:sz w:val="28"/>
          <w:szCs w:val="28"/>
        </w:rPr>
        <w:t>清算案</w:t>
      </w:r>
      <w:proofErr w:type="gramEnd"/>
      <w:r w:rsidR="00DB4775">
        <w:rPr>
          <w:rFonts w:ascii="仿宋" w:eastAsia="仿宋" w:hAnsi="仿宋" w:hint="eastAsia"/>
          <w:sz w:val="28"/>
          <w:szCs w:val="28"/>
        </w:rPr>
        <w:t>第一次债权人会议将不安排现场参会方式</w:t>
      </w:r>
      <w:r w:rsidRPr="0073098B">
        <w:rPr>
          <w:rFonts w:ascii="仿宋" w:eastAsia="仿宋" w:hAnsi="仿宋" w:hint="eastAsia"/>
          <w:sz w:val="28"/>
          <w:szCs w:val="28"/>
        </w:rPr>
        <w:t>。</w:t>
      </w:r>
      <w:r w:rsidR="000C723A">
        <w:rPr>
          <w:rFonts w:ascii="仿宋" w:eastAsia="仿宋" w:hAnsi="仿宋" w:hint="eastAsia"/>
          <w:sz w:val="28"/>
          <w:szCs w:val="28"/>
        </w:rPr>
        <w:t>另，</w:t>
      </w:r>
      <w:r w:rsidRPr="0073098B">
        <w:rPr>
          <w:rFonts w:ascii="仿宋" w:eastAsia="仿宋" w:hAnsi="仿宋" w:hint="eastAsia"/>
          <w:sz w:val="28"/>
          <w:szCs w:val="28"/>
        </w:rPr>
        <w:t>为便于债权人网络参加会议，管理人现将网络会议有关事项告知如下：</w:t>
      </w:r>
    </w:p>
    <w:p w:rsidR="00DB4775" w:rsidRDefault="0013170D" w:rsidP="00966ADC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</w:pP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1、网络会议通过“优破案”</w:t>
      </w:r>
      <w:proofErr w:type="gramStart"/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微信平台</w:t>
      </w:r>
      <w:proofErr w:type="gramEnd"/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进行。参加网络会议的债权人须使用已向管理人确认并在“优破案”</w:t>
      </w:r>
      <w:proofErr w:type="gramStart"/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微信平台</w:t>
      </w:r>
      <w:proofErr w:type="gramEnd"/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中注册的手机号码登陆投票。</w:t>
      </w:r>
    </w:p>
    <w:p w:rsidR="0013170D" w:rsidRPr="0073098B" w:rsidRDefault="0013170D" w:rsidP="00966ADC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华文仿宋"/>
          <w:color w:val="000000"/>
          <w:kern w:val="0"/>
          <w:sz w:val="28"/>
          <w:szCs w:val="28"/>
        </w:rPr>
      </w:pP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2、网络会议</w:t>
      </w:r>
      <w:r w:rsidR="00DB4775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将</w:t>
      </w: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于</w:t>
      </w:r>
      <w:r w:rsidRPr="0073098B">
        <w:rPr>
          <w:rFonts w:ascii="仿宋" w:eastAsia="仿宋" w:hAnsi="仿宋" w:cs="华文仿宋"/>
          <w:color w:val="000000"/>
          <w:kern w:val="0"/>
          <w:sz w:val="28"/>
          <w:szCs w:val="28"/>
        </w:rPr>
        <w:t>20</w:t>
      </w: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20年3月31日14</w:t>
      </w:r>
      <w:r w:rsidRPr="0073098B">
        <w:rPr>
          <w:rFonts w:ascii="仿宋" w:eastAsia="仿宋" w:hAnsi="仿宋" w:cs="华文仿宋"/>
          <w:color w:val="000000"/>
          <w:kern w:val="0"/>
          <w:sz w:val="28"/>
          <w:szCs w:val="28"/>
        </w:rPr>
        <w:t>:00</w:t>
      </w: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时</w:t>
      </w:r>
      <w:r w:rsidR="00DB4775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直播进行，债权人</w:t>
      </w: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届时</w:t>
      </w:r>
      <w:r w:rsidR="00DB4775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可</w:t>
      </w: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登陆“优破案”</w:t>
      </w:r>
      <w:proofErr w:type="gramStart"/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微信平台</w:t>
      </w:r>
      <w:proofErr w:type="gramEnd"/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，点击菜单“债权人会议”，即可观看直播。</w:t>
      </w:r>
    </w:p>
    <w:p w:rsidR="0013170D" w:rsidRPr="0073098B" w:rsidRDefault="0013170D" w:rsidP="00966ADC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华文仿宋"/>
          <w:color w:val="000000"/>
          <w:kern w:val="0"/>
          <w:sz w:val="28"/>
          <w:szCs w:val="28"/>
        </w:rPr>
      </w:pP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3、第一次债权人会议资料请在菜单“债权人申报”栏中“案件公告”处下载查看。</w:t>
      </w:r>
    </w:p>
    <w:p w:rsidR="0013170D" w:rsidRPr="0073098B" w:rsidRDefault="0013170D" w:rsidP="00966ADC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华文仿宋"/>
          <w:color w:val="000000"/>
          <w:kern w:val="0"/>
          <w:sz w:val="28"/>
          <w:szCs w:val="28"/>
        </w:rPr>
      </w:pP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4、第一次债权人会议开始至</w:t>
      </w:r>
      <w:r w:rsidRPr="0073098B">
        <w:rPr>
          <w:rFonts w:ascii="仿宋" w:eastAsia="仿宋" w:hAnsi="仿宋" w:cs="华文仿宋"/>
          <w:color w:val="000000"/>
          <w:kern w:val="0"/>
          <w:sz w:val="28"/>
          <w:szCs w:val="28"/>
        </w:rPr>
        <w:t>20</w:t>
      </w: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20年3月31日14</w:t>
      </w:r>
      <w:r w:rsidRPr="0073098B">
        <w:rPr>
          <w:rFonts w:ascii="仿宋" w:eastAsia="仿宋" w:hAnsi="仿宋" w:cs="华文仿宋"/>
          <w:color w:val="000000"/>
          <w:kern w:val="0"/>
          <w:sz w:val="28"/>
          <w:szCs w:val="28"/>
        </w:rPr>
        <w:t>:00</w:t>
      </w: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时，参加网络会议的债权人可以表决投票。点击菜单“债权人会议”，选择“在线投票”进行投票表决。</w:t>
      </w:r>
    </w:p>
    <w:p w:rsidR="0013170D" w:rsidRPr="0073098B" w:rsidRDefault="0013170D" w:rsidP="00966ADC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仿宋" w:eastAsia="仿宋" w:hAnsi="仿宋" w:cs="华文仿宋"/>
          <w:color w:val="000000"/>
          <w:kern w:val="0"/>
          <w:sz w:val="28"/>
          <w:szCs w:val="28"/>
        </w:rPr>
      </w:pPr>
      <w:r w:rsidRPr="0073098B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5、债权人对债权有异议的，请点击菜单“债权人会议”，选择“债权异议”即可填写“债权人异议”相关信息；对案件有异议的，请点击“债权人会议”，选择“案件异议”，即可填写“提问单”。</w:t>
      </w:r>
    </w:p>
    <w:p w:rsidR="0013170D" w:rsidRPr="0073098B" w:rsidRDefault="000C723A" w:rsidP="00966ADC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特此通知</w:t>
      </w:r>
      <w:r w:rsidR="0013170D" w:rsidRPr="0073098B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3170D" w:rsidRPr="0073098B" w:rsidRDefault="0013170D" w:rsidP="00966ADC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13170D" w:rsidRPr="0073098B" w:rsidRDefault="0073098B" w:rsidP="00966ADC">
      <w:pPr>
        <w:widowControl/>
        <w:shd w:val="clear" w:color="auto" w:fill="FFFFFF"/>
        <w:adjustRightInd w:val="0"/>
        <w:snapToGrid w:val="0"/>
        <w:spacing w:line="400" w:lineRule="exact"/>
        <w:ind w:firstLineChars="600" w:firstLine="1680"/>
        <w:rPr>
          <w:rFonts w:ascii="仿宋" w:eastAsia="仿宋" w:hAnsi="仿宋"/>
          <w:color w:val="000000"/>
          <w:sz w:val="28"/>
          <w:szCs w:val="28"/>
        </w:rPr>
      </w:pPr>
      <w:r w:rsidRPr="0073098B">
        <w:rPr>
          <w:rFonts w:ascii="仿宋" w:eastAsia="仿宋" w:hAnsi="仿宋" w:hint="eastAsia"/>
          <w:sz w:val="28"/>
          <w:szCs w:val="28"/>
        </w:rPr>
        <w:t>诸暨市新城金鹰房地产开发有限公司</w:t>
      </w:r>
      <w:r w:rsidR="0013170D" w:rsidRPr="0073098B">
        <w:rPr>
          <w:rFonts w:ascii="仿宋" w:eastAsia="仿宋" w:hAnsi="仿宋" w:hint="eastAsia"/>
          <w:color w:val="000000"/>
          <w:sz w:val="28"/>
          <w:szCs w:val="28"/>
        </w:rPr>
        <w:t>管理人</w:t>
      </w:r>
    </w:p>
    <w:p w:rsidR="0013170D" w:rsidRPr="0073098B" w:rsidRDefault="0073098B" w:rsidP="00966ADC">
      <w:pPr>
        <w:widowControl/>
        <w:shd w:val="clear" w:color="auto" w:fill="FFFFFF"/>
        <w:adjustRightInd w:val="0"/>
        <w:snapToGrid w:val="0"/>
        <w:spacing w:line="400" w:lineRule="exact"/>
        <w:ind w:firstLineChars="1100" w:firstLine="3080"/>
        <w:rPr>
          <w:rFonts w:ascii="仿宋" w:eastAsia="仿宋" w:hAnsi="仿宋"/>
          <w:color w:val="000000"/>
          <w:sz w:val="28"/>
          <w:szCs w:val="28"/>
        </w:rPr>
      </w:pPr>
      <w:r w:rsidRPr="0073098B">
        <w:rPr>
          <w:rFonts w:ascii="仿宋" w:eastAsia="仿宋" w:hAnsi="仿宋" w:hint="eastAsia"/>
          <w:color w:val="000000"/>
          <w:sz w:val="28"/>
          <w:szCs w:val="28"/>
        </w:rPr>
        <w:t>二○二○</w:t>
      </w:r>
      <w:r w:rsidR="0013170D" w:rsidRPr="0073098B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73098B">
        <w:rPr>
          <w:rFonts w:ascii="仿宋" w:eastAsia="仿宋" w:hAnsi="仿宋" w:hint="eastAsia"/>
          <w:color w:val="000000"/>
          <w:sz w:val="28"/>
          <w:szCs w:val="28"/>
        </w:rPr>
        <w:t>三</w:t>
      </w:r>
      <w:r w:rsidR="0013170D" w:rsidRPr="0073098B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73098B">
        <w:rPr>
          <w:rFonts w:ascii="仿宋" w:eastAsia="仿宋" w:hAnsi="仿宋" w:hint="eastAsia"/>
          <w:color w:val="000000"/>
          <w:sz w:val="28"/>
          <w:szCs w:val="28"/>
        </w:rPr>
        <w:t>十九</w:t>
      </w:r>
      <w:r w:rsidR="0013170D" w:rsidRPr="0073098B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DB4775" w:rsidRDefault="00DB4775">
      <w:pPr>
        <w:widowControl/>
        <w:jc w:val="left"/>
      </w:pPr>
      <w:r>
        <w:br w:type="page"/>
      </w:r>
    </w:p>
    <w:p w:rsidR="00DB4775" w:rsidRPr="00DB4775" w:rsidRDefault="00DB4775" w:rsidP="00DB4775">
      <w:pPr>
        <w:snapToGrid w:val="0"/>
        <w:spacing w:line="400" w:lineRule="exact"/>
        <w:rPr>
          <w:rFonts w:ascii="仿宋" w:eastAsia="仿宋" w:hAnsi="仿宋"/>
          <w:b/>
          <w:bCs/>
          <w:sz w:val="28"/>
          <w:szCs w:val="28"/>
        </w:rPr>
      </w:pPr>
      <w:r w:rsidRPr="00DB4775">
        <w:rPr>
          <w:rFonts w:ascii="仿宋" w:eastAsia="仿宋" w:hAnsi="仿宋"/>
          <w:b/>
          <w:sz w:val="28"/>
          <w:szCs w:val="28"/>
        </w:rPr>
        <w:lastRenderedPageBreak/>
        <w:t>附</w:t>
      </w:r>
      <w:r w:rsidRPr="00DB4775">
        <w:rPr>
          <w:rFonts w:ascii="仿宋" w:eastAsia="仿宋" w:hAnsi="仿宋" w:hint="eastAsia"/>
          <w:b/>
          <w:sz w:val="28"/>
          <w:szCs w:val="28"/>
        </w:rPr>
        <w:t>：债权人会议参加网络会议方式</w:t>
      </w:r>
    </w:p>
    <w:p w:rsidR="00DB4775" w:rsidRDefault="00DB4775" w:rsidP="00DB4775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4D381E">
        <w:rPr>
          <w:rFonts w:ascii="仿宋" w:eastAsia="仿宋" w:hAnsi="仿宋" w:hint="eastAsia"/>
          <w:sz w:val="28"/>
          <w:szCs w:val="28"/>
        </w:rPr>
        <w:t>债权人可在“优破案”</w:t>
      </w:r>
      <w:proofErr w:type="gramStart"/>
      <w:r w:rsidRPr="004D381E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Pr="004D381E">
        <w:rPr>
          <w:rFonts w:ascii="仿宋" w:eastAsia="仿宋" w:hAnsi="仿宋" w:hint="eastAsia"/>
          <w:sz w:val="28"/>
          <w:szCs w:val="28"/>
        </w:rPr>
        <w:t>主界面，点击“债权人会议”</w:t>
      </w:r>
      <w:r w:rsidRPr="004D381E">
        <w:rPr>
          <w:rFonts w:ascii="仿宋" w:eastAsia="仿宋" w:hAnsi="仿宋"/>
          <w:sz w:val="28"/>
          <w:szCs w:val="28"/>
        </w:rPr>
        <w:t>-“会议直播”（</w:t>
      </w:r>
      <w:r>
        <w:rPr>
          <w:rFonts w:ascii="仿宋" w:eastAsia="仿宋" w:hAnsi="仿宋"/>
          <w:sz w:val="28"/>
          <w:szCs w:val="28"/>
        </w:rPr>
        <w:t>见</w:t>
      </w:r>
      <w:r w:rsidRPr="004D381E">
        <w:rPr>
          <w:rFonts w:ascii="仿宋" w:eastAsia="仿宋" w:hAnsi="仿宋"/>
          <w:sz w:val="28"/>
          <w:szCs w:val="28"/>
        </w:rPr>
        <w:t>下图</w:t>
      </w:r>
      <w:r w:rsidRPr="004D381E">
        <w:rPr>
          <w:rFonts w:ascii="仿宋" w:eastAsia="仿宋" w:hAnsi="仿宋" w:hint="eastAsia"/>
          <w:sz w:val="28"/>
          <w:szCs w:val="28"/>
        </w:rPr>
        <w:t>），查看债权人会议现场直播。</w:t>
      </w:r>
    </w:p>
    <w:p w:rsidR="00DB4775" w:rsidRPr="00376F3C" w:rsidRDefault="00DB4775" w:rsidP="00DB4775">
      <w:pPr>
        <w:ind w:firstLineChars="200" w:firstLine="420"/>
        <w:rPr>
          <w:rFonts w:ascii="Songti SC" w:eastAsia="Songti SC" w:hAnsi="Songti SC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19050</wp:posOffset>
            </wp:positionV>
            <wp:extent cx="1409700" cy="2388870"/>
            <wp:effectExtent l="19050" t="0" r="0" b="0"/>
            <wp:wrapThrough wrapText="bothSides">
              <wp:wrapPolygon edited="0">
                <wp:start x="-292" y="0"/>
                <wp:lineTo x="-292" y="21359"/>
                <wp:lineTo x="21600" y="21359"/>
                <wp:lineTo x="21600" y="0"/>
                <wp:lineTo x="-292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775" w:rsidRDefault="00DB4775" w:rsidP="00DB4775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DB4775" w:rsidRDefault="00DB4775" w:rsidP="00DB4775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DB4775" w:rsidRDefault="00DB4775" w:rsidP="00DB4775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DB4775" w:rsidRDefault="00DB4775" w:rsidP="00DB4775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DB4775" w:rsidRDefault="00DB4775" w:rsidP="00DB4775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DB4775" w:rsidRDefault="00DB4775" w:rsidP="00DB4775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DB4775" w:rsidRDefault="00DB4775" w:rsidP="00DB4775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DB4775" w:rsidRDefault="00DB4775" w:rsidP="00DB4775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DB4775" w:rsidRDefault="00DB4775" w:rsidP="00DB4775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DB4775" w:rsidRDefault="00DB4775" w:rsidP="00DB4775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DB4775" w:rsidRDefault="00DB4775" w:rsidP="00DB4775">
      <w:pPr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DB4775" w:rsidRDefault="00DB4775" w:rsidP="00DB4775">
      <w:pPr>
        <w:spacing w:line="4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4D381E">
        <w:rPr>
          <w:rFonts w:ascii="仿宋" w:eastAsia="仿宋" w:hAnsi="仿宋" w:hint="eastAsia"/>
          <w:b/>
          <w:bCs/>
          <w:sz w:val="28"/>
          <w:szCs w:val="28"/>
        </w:rPr>
        <w:t>注意：会议直播需要在现场会议召开时进行直播，其他时间该栏目进入后显示“目前没有会议直播，请关注相关会议公告”</w:t>
      </w:r>
    </w:p>
    <w:p w:rsidR="00DB4775" w:rsidRDefault="00DB4775" w:rsidP="00DB477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4D381E">
        <w:rPr>
          <w:rFonts w:ascii="仿宋" w:eastAsia="仿宋" w:hAnsi="仿宋" w:hint="eastAsia"/>
          <w:sz w:val="28"/>
          <w:szCs w:val="28"/>
        </w:rPr>
        <w:t>债权人可在“优破案”微信公众号主界面，点击“债权申报”</w:t>
      </w:r>
      <w:r w:rsidRPr="004D381E">
        <w:rPr>
          <w:rFonts w:ascii="仿宋" w:eastAsia="仿宋" w:hAnsi="仿宋"/>
          <w:sz w:val="28"/>
          <w:szCs w:val="28"/>
        </w:rPr>
        <w:t>-“案件公告”</w:t>
      </w:r>
      <w:r>
        <w:rPr>
          <w:rFonts w:ascii="仿宋" w:eastAsia="仿宋" w:hAnsi="仿宋"/>
          <w:sz w:val="28"/>
          <w:szCs w:val="28"/>
        </w:rPr>
        <w:t>，查看《债务人财产管理</w:t>
      </w:r>
      <w:r w:rsidRPr="004D381E">
        <w:rPr>
          <w:rFonts w:ascii="仿宋" w:eastAsia="仿宋" w:hAnsi="仿宋"/>
          <w:sz w:val="28"/>
          <w:szCs w:val="28"/>
        </w:rPr>
        <w:t>方案》</w:t>
      </w:r>
      <w:r>
        <w:rPr>
          <w:rFonts w:ascii="仿宋" w:eastAsia="仿宋" w:hAnsi="仿宋" w:hint="eastAsia"/>
          <w:sz w:val="28"/>
          <w:szCs w:val="28"/>
        </w:rPr>
        <w:t>、《债务人财产变价方案》</w:t>
      </w:r>
      <w:r w:rsidRPr="004D381E">
        <w:rPr>
          <w:rFonts w:ascii="仿宋" w:eastAsia="仿宋" w:hAnsi="仿宋"/>
          <w:sz w:val="28"/>
          <w:szCs w:val="28"/>
        </w:rPr>
        <w:t>等表决事项的具体内容</w:t>
      </w:r>
      <w:r w:rsidR="000C723A">
        <w:rPr>
          <w:rFonts w:ascii="仿宋" w:eastAsia="仿宋" w:hAnsi="仿宋" w:hint="eastAsia"/>
          <w:sz w:val="28"/>
          <w:szCs w:val="28"/>
        </w:rPr>
        <w:t>（见下图示例）</w:t>
      </w:r>
      <w:r w:rsidRPr="004D381E">
        <w:rPr>
          <w:rFonts w:ascii="仿宋" w:eastAsia="仿宋" w:hAnsi="仿宋"/>
          <w:sz w:val="28"/>
          <w:szCs w:val="28"/>
        </w:rPr>
        <w:t>。</w:t>
      </w:r>
    </w:p>
    <w:p w:rsidR="00DB4775" w:rsidRDefault="00DB4775" w:rsidP="00DB477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D381E">
        <w:rPr>
          <w:rFonts w:ascii="仿宋" w:eastAsia="仿宋" w:hAnsi="仿宋" w:hint="eastAsia"/>
          <w:sz w:val="28"/>
          <w:szCs w:val="28"/>
        </w:rPr>
        <w:t>进行表决时，债权人请点击“债权人会议”</w:t>
      </w:r>
      <w:r w:rsidRPr="004D381E">
        <w:rPr>
          <w:rFonts w:ascii="仿宋" w:eastAsia="仿宋" w:hAnsi="仿宋"/>
          <w:sz w:val="28"/>
          <w:szCs w:val="28"/>
        </w:rPr>
        <w:t>-“在线投票”界面。</w:t>
      </w:r>
    </w:p>
    <w:p w:rsidR="00DB4775" w:rsidRDefault="00DB4775" w:rsidP="00DB4775">
      <w:pPr>
        <w:spacing w:line="40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 w:rsidRPr="004D381E">
        <w:rPr>
          <w:rFonts w:ascii="仿宋" w:eastAsia="仿宋" w:hAnsi="仿宋" w:hint="eastAsia"/>
          <w:sz w:val="28"/>
          <w:szCs w:val="28"/>
        </w:rPr>
        <w:t>债权人点击“投票”，查看表决事项的名目，债权人</w:t>
      </w:r>
      <w:r w:rsidRPr="004D381E">
        <w:rPr>
          <w:rFonts w:ascii="仿宋" w:eastAsia="仿宋" w:hAnsi="仿宋"/>
          <w:sz w:val="28"/>
          <w:szCs w:val="28"/>
        </w:rPr>
        <w:t>勾选表决项内容后，点击“提交投票”进行表决。</w:t>
      </w:r>
      <w:r w:rsidRPr="004D381E">
        <w:rPr>
          <w:rFonts w:ascii="仿宋" w:eastAsia="仿宋" w:hAnsi="仿宋" w:hint="eastAsia"/>
          <w:b/>
          <w:bCs/>
          <w:sz w:val="28"/>
          <w:szCs w:val="28"/>
        </w:rPr>
        <w:t>系统已对表决事项进行勾选，如同意表决事项，可直接点击“提交投票”；如不同意表决事项，可点击去除表决事项前的“勾选”，再点击“提交投票”。</w:t>
      </w:r>
    </w:p>
    <w:p w:rsidR="00DB4775" w:rsidRDefault="00DB4775" w:rsidP="00DB4775">
      <w:pPr>
        <w:spacing w:line="4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DB4775" w:rsidRDefault="00DB4775" w:rsidP="00DB4775">
      <w:pPr>
        <w:ind w:firstLineChars="200" w:firstLine="420"/>
        <w:rPr>
          <w:rFonts w:ascii="Songti SC" w:eastAsia="Songti SC" w:hAnsi="Songti SC"/>
        </w:rPr>
      </w:pPr>
      <w:r w:rsidRPr="00376F3C">
        <w:rPr>
          <w:rFonts w:ascii="Songti SC" w:eastAsia="Songti SC" w:hAnsi="Songti SC"/>
          <w:noProof/>
        </w:rPr>
        <w:drawing>
          <wp:inline distT="0" distB="0" distL="0" distR="0">
            <wp:extent cx="1543685" cy="1956435"/>
            <wp:effectExtent l="0" t="0" r="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F3C">
        <w:rPr>
          <w:rFonts w:ascii="Songti SC" w:eastAsia="Songti SC" w:hAnsi="Songti SC" w:hint="eastAsia"/>
        </w:rPr>
        <w:t xml:space="preserve"> </w:t>
      </w:r>
      <w:r>
        <w:rPr>
          <w:rFonts w:ascii="Songti SC" w:eastAsia="Songti SC" w:hAnsi="Songti SC" w:hint="eastAsia"/>
        </w:rPr>
        <w:t xml:space="preserve">    </w:t>
      </w:r>
      <w:r w:rsidRPr="00065AA9">
        <w:rPr>
          <w:rFonts w:ascii="Songti SC" w:eastAsia="Songti SC" w:hAnsi="Songti SC"/>
        </w:rPr>
        <w:t xml:space="preserve">              </w:t>
      </w:r>
      <w:r w:rsidRPr="00376F3C">
        <w:rPr>
          <w:rFonts w:ascii="Songti SC" w:eastAsia="Songti SC" w:hAnsi="Songti SC"/>
          <w:noProof/>
        </w:rPr>
        <w:drawing>
          <wp:inline distT="0" distB="0" distL="0" distR="0">
            <wp:extent cx="1416050" cy="194691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FD" w:rsidRPr="00DB4775" w:rsidRDefault="00DB4775" w:rsidP="00DB4775">
      <w:pPr>
        <w:spacing w:line="400" w:lineRule="exact"/>
        <w:ind w:firstLineChars="200" w:firstLine="562"/>
      </w:pPr>
      <w:r w:rsidRPr="004D381E">
        <w:rPr>
          <w:rFonts w:ascii="仿宋" w:eastAsia="仿宋" w:hAnsi="仿宋" w:hint="eastAsia"/>
          <w:b/>
          <w:bCs/>
          <w:sz w:val="28"/>
          <w:szCs w:val="28"/>
        </w:rPr>
        <w:t>注意：只有管理人打开在线投票通</w:t>
      </w:r>
      <w:r w:rsidRPr="004D381E">
        <w:rPr>
          <w:rFonts w:ascii="仿宋" w:eastAsia="仿宋" w:hAnsi="仿宋"/>
          <w:b/>
          <w:bCs/>
          <w:sz w:val="28"/>
          <w:szCs w:val="28"/>
        </w:rPr>
        <w:t>道，债权人方可进行投票表决，否则看到的是“目前没有在线会议”。</w:t>
      </w:r>
    </w:p>
    <w:sectPr w:rsidR="00E708FD" w:rsidRPr="00DB4775" w:rsidSect="0073098B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70D"/>
    <w:rsid w:val="000C723A"/>
    <w:rsid w:val="0013170D"/>
    <w:rsid w:val="0073098B"/>
    <w:rsid w:val="00966ADC"/>
    <w:rsid w:val="00DB4775"/>
    <w:rsid w:val="00E7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47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4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杨泽峰</dc:creator>
  <cp:lastModifiedBy>杨泽峰</cp:lastModifiedBy>
  <cp:revision>4</cp:revision>
  <dcterms:created xsi:type="dcterms:W3CDTF">2020-03-19T08:10:00Z</dcterms:created>
  <dcterms:modified xsi:type="dcterms:W3CDTF">2020-03-19T08:30:00Z</dcterms:modified>
</cp:coreProperties>
</file>