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5FB6" w14:textId="77777777" w:rsidR="002D63C9" w:rsidRDefault="00C46E4C">
      <w:pPr>
        <w:widowControl/>
        <w:snapToGrid w:val="0"/>
        <w:spacing w:line="40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2"/>
          <w:szCs w:val="32"/>
        </w:rPr>
        <w:t>绍兴荣通实业投资有限公司</w:t>
      </w:r>
      <w:r w:rsidR="002D63C9">
        <w:rPr>
          <w:rFonts w:ascii="宋体" w:hAnsi="宋体" w:cs="宋体" w:hint="eastAsia"/>
          <w:b/>
          <w:kern w:val="0"/>
          <w:sz w:val="32"/>
          <w:szCs w:val="32"/>
        </w:rPr>
        <w:t>破产</w:t>
      </w:r>
      <w:r w:rsidR="002D63C9">
        <w:rPr>
          <w:rFonts w:ascii="宋体" w:hAnsi="宋体" w:cs="宋体"/>
          <w:b/>
          <w:kern w:val="0"/>
          <w:sz w:val="32"/>
          <w:szCs w:val="32"/>
        </w:rPr>
        <w:t>清算</w:t>
      </w:r>
      <w:r w:rsidR="002D63C9">
        <w:rPr>
          <w:rFonts w:ascii="宋体" w:hAnsi="宋体" w:cs="宋体" w:hint="eastAsia"/>
          <w:b/>
          <w:kern w:val="0"/>
          <w:sz w:val="32"/>
          <w:szCs w:val="32"/>
        </w:rPr>
        <w:t>案</w:t>
      </w:r>
    </w:p>
    <w:p w14:paraId="6DBDA161" w14:textId="77777777" w:rsidR="002D63C9" w:rsidRDefault="002D63C9">
      <w:pPr>
        <w:widowControl/>
        <w:snapToGrid w:val="0"/>
        <w:spacing w:line="400" w:lineRule="exact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债权申报须知</w:t>
      </w:r>
    </w:p>
    <w:p w14:paraId="1EE50565" w14:textId="77777777" w:rsidR="002D63C9" w:rsidRDefault="002D63C9">
      <w:pPr>
        <w:widowControl/>
        <w:adjustRightInd w:val="0"/>
        <w:spacing w:line="440" w:lineRule="exact"/>
        <w:jc w:val="left"/>
        <w:textAlignment w:val="baseline"/>
        <w:rPr>
          <w:rFonts w:ascii="仿宋" w:eastAsia="仿宋" w:hAnsi="仿宋" w:hint="eastAsia"/>
          <w:b/>
          <w:kern w:val="0"/>
          <w:sz w:val="28"/>
          <w:szCs w:val="28"/>
        </w:rPr>
      </w:pPr>
    </w:p>
    <w:p w14:paraId="530CB09B" w14:textId="77777777" w:rsidR="002D63C9" w:rsidRDefault="00C46E4C">
      <w:pPr>
        <w:widowControl/>
        <w:spacing w:line="440" w:lineRule="exact"/>
        <w:ind w:firstLineChars="192" w:firstLine="538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C46E4C">
        <w:rPr>
          <w:rFonts w:ascii="仿宋" w:eastAsia="仿宋" w:hAnsi="仿宋" w:hint="eastAsia"/>
          <w:kern w:val="0"/>
          <w:sz w:val="28"/>
          <w:szCs w:val="28"/>
        </w:rPr>
        <w:t>2017年8月4日，绍兴市越城区人民法院作出（2017）浙0602破5号民事裁定书，受理绍兴荣通实业投资有限公司破产清算案，并指定浙江大公律师事务所为管理人。</w:t>
      </w:r>
      <w:r w:rsidR="002D63C9">
        <w:rPr>
          <w:rFonts w:ascii="仿宋" w:eastAsia="仿宋" w:hAnsi="仿宋" w:cs="宋体" w:hint="eastAsia"/>
          <w:kern w:val="0"/>
          <w:sz w:val="28"/>
          <w:szCs w:val="28"/>
        </w:rPr>
        <w:t>为使债权人了解上述</w:t>
      </w:r>
      <w:r>
        <w:rPr>
          <w:rFonts w:ascii="仿宋" w:eastAsia="仿宋" w:hAnsi="仿宋" w:cs="宋体" w:hint="eastAsia"/>
          <w:kern w:val="0"/>
          <w:sz w:val="28"/>
          <w:szCs w:val="28"/>
        </w:rPr>
        <w:t>绍兴荣通实业投资有限公司</w:t>
      </w:r>
      <w:r w:rsidR="002D63C9">
        <w:rPr>
          <w:rFonts w:ascii="仿宋" w:eastAsia="仿宋" w:hAnsi="仿宋" w:cs="宋体" w:hint="eastAsia"/>
          <w:kern w:val="0"/>
          <w:sz w:val="28"/>
          <w:szCs w:val="28"/>
        </w:rPr>
        <w:t>破产</w:t>
      </w:r>
      <w:r w:rsidR="002D63C9">
        <w:rPr>
          <w:rFonts w:ascii="仿宋" w:eastAsia="仿宋" w:hAnsi="仿宋" w:cs="宋体"/>
          <w:kern w:val="0"/>
          <w:sz w:val="28"/>
          <w:szCs w:val="28"/>
        </w:rPr>
        <w:t>清算</w:t>
      </w:r>
      <w:r w:rsidR="002D63C9">
        <w:rPr>
          <w:rFonts w:ascii="仿宋" w:eastAsia="仿宋" w:hAnsi="仿宋" w:cs="宋体" w:hint="eastAsia"/>
          <w:kern w:val="0"/>
          <w:sz w:val="28"/>
          <w:szCs w:val="28"/>
        </w:rPr>
        <w:t>案债权申报程序，促进债权申报工作的顺利进行，管理人就债权</w:t>
      </w:r>
      <w:r w:rsidR="002D63C9">
        <w:rPr>
          <w:rFonts w:ascii="仿宋" w:eastAsia="仿宋" w:hAnsi="仿宋" w:cs="宋体"/>
          <w:kern w:val="0"/>
          <w:sz w:val="28"/>
          <w:szCs w:val="28"/>
        </w:rPr>
        <w:t>人</w:t>
      </w:r>
      <w:r w:rsidR="002D63C9">
        <w:rPr>
          <w:rFonts w:ascii="仿宋" w:eastAsia="仿宋" w:hAnsi="仿宋" w:cs="宋体" w:hint="eastAsia"/>
          <w:kern w:val="0"/>
          <w:sz w:val="28"/>
          <w:szCs w:val="28"/>
        </w:rPr>
        <w:t>申报</w:t>
      </w:r>
      <w:r w:rsidR="002D63C9">
        <w:rPr>
          <w:rFonts w:ascii="仿宋" w:eastAsia="仿宋" w:hAnsi="仿宋" w:cs="宋体"/>
          <w:kern w:val="0"/>
          <w:sz w:val="28"/>
          <w:szCs w:val="28"/>
        </w:rPr>
        <w:t>债权的</w:t>
      </w:r>
      <w:r w:rsidR="002D63C9">
        <w:rPr>
          <w:rFonts w:ascii="仿宋" w:eastAsia="仿宋" w:hAnsi="仿宋" w:cs="宋体" w:hint="eastAsia"/>
          <w:kern w:val="0"/>
          <w:sz w:val="28"/>
          <w:szCs w:val="28"/>
        </w:rPr>
        <w:t xml:space="preserve">相关事宜说明如下： </w:t>
      </w:r>
    </w:p>
    <w:p w14:paraId="28E01E00" w14:textId="77777777" w:rsidR="002D63C9" w:rsidRDefault="002D63C9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hint="eastAsia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一、申报债权主体：</w:t>
      </w:r>
    </w:p>
    <w:p w14:paraId="38EBAADC" w14:textId="77777777" w:rsidR="002D63C9" w:rsidRDefault="00C46E4C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绍兴市越城区人民法院</w:t>
      </w:r>
      <w:r w:rsidR="002D63C9">
        <w:rPr>
          <w:rFonts w:ascii="仿宋" w:eastAsia="仿宋" w:hAnsi="仿宋" w:cs="宋体" w:hint="eastAsia"/>
          <w:kern w:val="0"/>
          <w:sz w:val="28"/>
          <w:szCs w:val="28"/>
        </w:rPr>
        <w:t>裁定受理上述债务人破</w:t>
      </w:r>
      <w:r w:rsidR="002D63C9">
        <w:rPr>
          <w:rFonts w:ascii="仿宋" w:eastAsia="仿宋" w:hAnsi="仿宋" w:cs="宋体"/>
          <w:kern w:val="0"/>
          <w:sz w:val="28"/>
          <w:szCs w:val="28"/>
        </w:rPr>
        <w:t>产清算</w:t>
      </w:r>
      <w:r w:rsidR="002D63C9">
        <w:rPr>
          <w:rFonts w:ascii="仿宋" w:eastAsia="仿宋" w:hAnsi="仿宋" w:cs="宋体" w:hint="eastAsia"/>
          <w:kern w:val="0"/>
          <w:sz w:val="28"/>
          <w:szCs w:val="28"/>
        </w:rPr>
        <w:t>申请时，对上述债务人享有债权的债权人，均可以向管理人申报债权。</w:t>
      </w:r>
      <w:r w:rsidR="002D63C9">
        <w:rPr>
          <w:rFonts w:ascii="仿宋" w:eastAsia="仿宋" w:hAnsi="仿宋" w:cs="宋体"/>
          <w:kern w:val="0"/>
          <w:sz w:val="28"/>
          <w:szCs w:val="28"/>
        </w:rPr>
        <w:t>但</w:t>
      </w:r>
      <w:r w:rsidR="002D63C9">
        <w:rPr>
          <w:rFonts w:ascii="仿宋" w:eastAsia="仿宋" w:hAnsi="仿宋" w:cs="宋体" w:hint="eastAsia"/>
          <w:kern w:val="0"/>
          <w:sz w:val="28"/>
          <w:szCs w:val="28"/>
        </w:rPr>
        <w:t>债务人所欠职工的工资和医疗、伤残补助、抚恤费用，所欠的应当划入职工个人账户的基本养老保险、基本医疗保险费用，以及法律、行政法规规定应当支付给职工的补偿金，不必申报，由管理人调查后列出清单并予以公示</w:t>
      </w:r>
    </w:p>
    <w:p w14:paraId="440690FD" w14:textId="77777777" w:rsidR="002D63C9" w:rsidRDefault="002D63C9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债权人在申报债权时应当注意以下几点</w:t>
      </w:r>
      <w:r>
        <w:rPr>
          <w:rFonts w:ascii="仿宋" w:eastAsia="仿宋" w:hAnsi="仿宋" w:cs="宋体"/>
          <w:b/>
          <w:kern w:val="0"/>
          <w:sz w:val="28"/>
          <w:szCs w:val="28"/>
        </w:rPr>
        <w:t>：</w:t>
      </w:r>
    </w:p>
    <w:p w14:paraId="4AF5164C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⑴未到期的债权，在破产申请受理时视为债权到期；</w:t>
      </w:r>
    </w:p>
    <w:p w14:paraId="37653A07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⑵附利息的债权，自破产申请受理时起停止计息；</w:t>
      </w:r>
    </w:p>
    <w:p w14:paraId="416FDEE8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⑶附条件、附期限的债权和诉讼、仲裁未决的债权，债权人可以申报；</w:t>
      </w:r>
    </w:p>
    <w:p w14:paraId="7BC7453E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⑷债权人申报债权时，应当书面说明债权的数额和有无财产担保情况，并提交有关证据；申报的债权是连带债权的，应当说明；</w:t>
      </w:r>
    </w:p>
    <w:p w14:paraId="26B848FF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⑸连带债权人可以由其中一人代表全体连带债权人申报债权，也可以共同申报债权；</w:t>
      </w:r>
    </w:p>
    <w:p w14:paraId="06D520A7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⑹债务人的保证人或者其他连带债务人已经代替债务人清偿债务的，可就其对债务人的求偿权申报债权；</w:t>
      </w:r>
    </w:p>
    <w:p w14:paraId="39525B1E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⑺债务人的保证人或者其他连带债务人尚未代替债务人清偿债务的，以其对债务人的将来求偿权申报债权。但债权人已经向管理人申报全部债权的除外；</w:t>
      </w:r>
    </w:p>
    <w:p w14:paraId="277E6D6F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⑻管理人或者债务人依照《企业破产法》规定解除合同的，对方当事人以因合同解除所产生的损害赔偿请求权申报债权；</w:t>
      </w:r>
    </w:p>
    <w:p w14:paraId="38390581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⑼债务人是委托合同的委托人，被裁定适用《企业破产法》规定的程序，受托人不知该事实，继续处理委托事务的，受托人以由此产生的请求权申报债权；</w:t>
      </w:r>
    </w:p>
    <w:p w14:paraId="7E94F8F5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⑽债务人是票据的出票人，被裁定适用《企业破产法》规定的程序，该票据的付款人继续付款或者承兑的，付款人以由此产生的请求权申报债权。</w:t>
      </w:r>
    </w:p>
    <w:p w14:paraId="341FB9B4" w14:textId="77777777" w:rsidR="002D63C9" w:rsidRDefault="002D63C9">
      <w:pPr>
        <w:widowControl/>
        <w:adjustRightInd w:val="0"/>
        <w:spacing w:line="440" w:lineRule="exact"/>
        <w:ind w:firstLineChars="196" w:firstLine="549"/>
        <w:jc w:val="left"/>
        <w:textAlignment w:val="baseline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⑾法律规定其他可以申报的债权，债权人应当予以申报。</w:t>
      </w:r>
    </w:p>
    <w:p w14:paraId="4023FB0B" w14:textId="77777777" w:rsidR="002D63C9" w:rsidRDefault="002D63C9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hint="eastAsia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债权人未依照《企业</w:t>
      </w:r>
      <w:r>
        <w:rPr>
          <w:rFonts w:ascii="仿宋" w:eastAsia="仿宋" w:hAnsi="仿宋"/>
          <w:b/>
          <w:kern w:val="0"/>
          <w:sz w:val="28"/>
          <w:szCs w:val="28"/>
        </w:rPr>
        <w:t>破产法》</w:t>
      </w:r>
      <w:r>
        <w:rPr>
          <w:rFonts w:ascii="仿宋" w:eastAsia="仿宋" w:hAnsi="仿宋" w:hint="eastAsia"/>
          <w:b/>
          <w:kern w:val="0"/>
          <w:sz w:val="28"/>
          <w:szCs w:val="28"/>
        </w:rPr>
        <w:t>规定申报债权的，不得依照《企业</w:t>
      </w:r>
      <w:r>
        <w:rPr>
          <w:rFonts w:ascii="仿宋" w:eastAsia="仿宋" w:hAnsi="仿宋"/>
          <w:b/>
          <w:kern w:val="0"/>
          <w:sz w:val="28"/>
          <w:szCs w:val="28"/>
        </w:rPr>
        <w:t>破产法》</w:t>
      </w:r>
      <w:r>
        <w:rPr>
          <w:rFonts w:ascii="仿宋" w:eastAsia="仿宋" w:hAnsi="仿宋" w:hint="eastAsia"/>
          <w:b/>
          <w:kern w:val="0"/>
          <w:sz w:val="28"/>
          <w:szCs w:val="28"/>
        </w:rPr>
        <w:t>规定的程序行使权利。</w:t>
      </w:r>
    </w:p>
    <w:p w14:paraId="3F62A7DE" w14:textId="77777777" w:rsidR="002D63C9" w:rsidRDefault="002D63C9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hint="eastAsia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二、申报债权应提供以下资料：</w:t>
      </w:r>
    </w:p>
    <w:p w14:paraId="46CEC571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1、债权人为法人或其他组织的，应提供债权人已年检的营业执照复印件(加盖公章)、组织机构代码证复印件(加盖公章)、法定代表人身份证明书(原件)、法定代表人身份证复印件(签字确认)；</w:t>
      </w:r>
    </w:p>
    <w:p w14:paraId="05795912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债权人为个人的，提供个人身份证明(复印件签字确认)；</w:t>
      </w:r>
    </w:p>
    <w:p w14:paraId="1B5AB2ED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委托代理人申报的，须提交授权委托书(原件)及代理人身份证明(复印件签字确认);</w:t>
      </w:r>
    </w:p>
    <w:p w14:paraId="018EE819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2、债权申报表、申报材料清单；</w:t>
      </w:r>
    </w:p>
    <w:p w14:paraId="626AAAD2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3、证据材料：包括但不限于合同、协议、往来帐及相关凭证、收款或付款凭证、判决书、调解书、裁定书、</w:t>
      </w:r>
      <w:r>
        <w:rPr>
          <w:rFonts w:ascii="仿宋" w:eastAsia="仿宋" w:hAnsi="仿宋" w:hint="eastAsia"/>
          <w:b/>
          <w:kern w:val="0"/>
          <w:sz w:val="28"/>
          <w:szCs w:val="28"/>
        </w:rPr>
        <w:t>孳息或违约金计算说明</w:t>
      </w:r>
      <w:r>
        <w:rPr>
          <w:rFonts w:ascii="仿宋" w:eastAsia="仿宋" w:hAnsi="仿宋" w:hint="eastAsia"/>
          <w:kern w:val="0"/>
          <w:sz w:val="28"/>
          <w:szCs w:val="28"/>
        </w:rPr>
        <w:t>等主张债权合法有效的书面材料(复印件)，并将原件提交管理人核对；</w:t>
      </w:r>
    </w:p>
    <w:p w14:paraId="31282CC8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4、债权人申报债权时，应在《债权人地址及联系方式确认书》中明确申报人的送达地址、邮编、联系人（收件人）、联系方式等。</w:t>
      </w:r>
    </w:p>
    <w:p w14:paraId="6D4AC893" w14:textId="77777777" w:rsidR="002D63C9" w:rsidRDefault="002D63C9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hint="eastAsia"/>
          <w:b/>
          <w:kern w:val="0"/>
          <w:sz w:val="28"/>
          <w:szCs w:val="28"/>
        </w:rPr>
      </w:pPr>
    </w:p>
    <w:p w14:paraId="68FD9A06" w14:textId="77777777" w:rsidR="002D63C9" w:rsidRDefault="002D63C9">
      <w:pPr>
        <w:widowControl/>
        <w:adjustRightInd w:val="0"/>
        <w:spacing w:line="440" w:lineRule="exact"/>
        <w:ind w:firstLineChars="196" w:firstLine="551"/>
        <w:jc w:val="left"/>
        <w:textAlignment w:val="baseline"/>
        <w:rPr>
          <w:rFonts w:ascii="仿宋" w:eastAsia="仿宋" w:hAnsi="仿宋" w:hint="eastAsia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三、注意事项：</w:t>
      </w:r>
    </w:p>
    <w:p w14:paraId="640AC44D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1、以上申报材料均一式三份；</w:t>
      </w:r>
    </w:p>
    <w:p w14:paraId="0C199BF0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2、提交材料的纸张规格为A4纸；书写均应用蓝墨、或炭素墨水；</w:t>
      </w:r>
    </w:p>
    <w:p w14:paraId="4D7FF11F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3、申报孳息或违约金涉及多笔债权的，应当分别列明每笔债权孳息或违约金计算说明；</w:t>
      </w:r>
    </w:p>
    <w:p w14:paraId="40520F2C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4、债权审核过程中，管理人需要再次审核证据原件的，申报人应根据管理人的要求提交证据原件；</w:t>
      </w:r>
    </w:p>
    <w:p w14:paraId="271CEDD1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lastRenderedPageBreak/>
        <w:t>5、申报时间及地点：周一至周五上午9:00～</w:t>
      </w:r>
      <w:r w:rsidR="00C46E4C">
        <w:rPr>
          <w:rFonts w:ascii="仿宋" w:eastAsia="仿宋" w:hAnsi="仿宋" w:hint="eastAsia"/>
          <w:kern w:val="0"/>
          <w:sz w:val="28"/>
          <w:szCs w:val="28"/>
        </w:rPr>
        <w:t>11:3</w:t>
      </w:r>
      <w:r>
        <w:rPr>
          <w:rFonts w:ascii="仿宋" w:eastAsia="仿宋" w:hAnsi="仿宋" w:hint="eastAsia"/>
          <w:kern w:val="0"/>
          <w:sz w:val="28"/>
          <w:szCs w:val="28"/>
        </w:rPr>
        <w:t>0，下午</w:t>
      </w:r>
      <w:r w:rsidR="00C46E4C">
        <w:rPr>
          <w:rFonts w:ascii="仿宋" w:eastAsia="仿宋" w:hAnsi="仿宋" w:hint="eastAsia"/>
          <w:kern w:val="0"/>
          <w:sz w:val="28"/>
          <w:szCs w:val="28"/>
        </w:rPr>
        <w:t>15</w:t>
      </w:r>
      <w:r>
        <w:rPr>
          <w:rFonts w:ascii="仿宋" w:eastAsia="仿宋" w:hAnsi="仿宋" w:hint="eastAsia"/>
          <w:kern w:val="0"/>
          <w:sz w:val="28"/>
          <w:szCs w:val="28"/>
        </w:rPr>
        <w:t>:00～</w:t>
      </w:r>
      <w:r w:rsidR="00C46E4C">
        <w:rPr>
          <w:rFonts w:ascii="仿宋" w:eastAsia="仿宋" w:hAnsi="仿宋" w:hint="eastAsia"/>
          <w:kern w:val="0"/>
          <w:sz w:val="28"/>
          <w:szCs w:val="28"/>
        </w:rPr>
        <w:t>17:3</w:t>
      </w:r>
      <w:r>
        <w:rPr>
          <w:rFonts w:ascii="仿宋" w:eastAsia="仿宋" w:hAnsi="仿宋" w:hint="eastAsia"/>
          <w:kern w:val="0"/>
          <w:sz w:val="28"/>
          <w:szCs w:val="28"/>
        </w:rPr>
        <w:t>0，浙江省绍兴市中兴中路375号写字楼B座7F，邮政编码：</w:t>
      </w:r>
      <w:r>
        <w:rPr>
          <w:rFonts w:ascii="仿宋_GB2312" w:eastAsia="仿宋_GB2312" w:hAnsi="华文仿宋" w:hint="eastAsia"/>
          <w:sz w:val="32"/>
          <w:szCs w:val="32"/>
        </w:rPr>
        <w:t>312000</w:t>
      </w:r>
      <w:r>
        <w:rPr>
          <w:rFonts w:ascii="仿宋" w:eastAsia="仿宋" w:hAnsi="仿宋" w:hint="eastAsia"/>
          <w:kern w:val="0"/>
          <w:sz w:val="28"/>
          <w:szCs w:val="28"/>
        </w:rPr>
        <w:t>；</w:t>
      </w:r>
    </w:p>
    <w:p w14:paraId="1BDC34CF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6、联系人：</w:t>
      </w:r>
      <w:r w:rsidR="00C46E4C">
        <w:rPr>
          <w:rFonts w:ascii="仿宋" w:eastAsia="仿宋" w:hAnsi="仿宋" w:hint="eastAsia"/>
          <w:kern w:val="0"/>
          <w:sz w:val="28"/>
          <w:szCs w:val="28"/>
        </w:rPr>
        <w:t>范平淹</w:t>
      </w:r>
      <w:r>
        <w:rPr>
          <w:rFonts w:ascii="仿宋" w:eastAsia="仿宋" w:hAnsi="仿宋" w:hint="eastAsia"/>
          <w:kern w:val="0"/>
          <w:sz w:val="28"/>
          <w:szCs w:val="28"/>
        </w:rPr>
        <w:t>（手机号码：</w:t>
      </w:r>
      <w:r w:rsidR="00C46E4C" w:rsidRPr="00C46E4C">
        <w:rPr>
          <w:rFonts w:ascii="仿宋" w:eastAsia="仿宋" w:hAnsi="仿宋"/>
          <w:kern w:val="0"/>
          <w:sz w:val="28"/>
          <w:szCs w:val="28"/>
        </w:rPr>
        <w:t>15957579898</w:t>
      </w:r>
      <w:r>
        <w:rPr>
          <w:rFonts w:ascii="仿宋" w:eastAsia="仿宋" w:hAnsi="仿宋" w:hint="eastAsia"/>
          <w:kern w:val="0"/>
          <w:sz w:val="28"/>
          <w:szCs w:val="28"/>
        </w:rPr>
        <w:t>）、</w:t>
      </w:r>
      <w:r w:rsidR="00C46E4C">
        <w:rPr>
          <w:rFonts w:ascii="仿宋" w:eastAsia="仿宋" w:hAnsi="仿宋" w:hint="eastAsia"/>
          <w:kern w:val="0"/>
          <w:sz w:val="28"/>
          <w:szCs w:val="28"/>
        </w:rPr>
        <w:t>钟惠芳</w:t>
      </w:r>
      <w:r>
        <w:rPr>
          <w:rFonts w:ascii="仿宋" w:eastAsia="仿宋" w:hAnsi="仿宋" w:hint="eastAsia"/>
          <w:kern w:val="0"/>
          <w:sz w:val="28"/>
          <w:szCs w:val="28"/>
        </w:rPr>
        <w:t>（手机号码：</w:t>
      </w:r>
      <w:r w:rsidR="00C46E4C" w:rsidRPr="00C46E4C">
        <w:rPr>
          <w:rFonts w:ascii="仿宋" w:eastAsia="仿宋" w:hAnsi="仿宋"/>
          <w:kern w:val="0"/>
          <w:sz w:val="28"/>
          <w:szCs w:val="28"/>
        </w:rPr>
        <w:t>13676865181</w:t>
      </w:r>
      <w:r>
        <w:rPr>
          <w:rFonts w:ascii="仿宋" w:eastAsia="仿宋" w:hAnsi="仿宋" w:hint="eastAsia"/>
          <w:kern w:val="0"/>
          <w:sz w:val="28"/>
          <w:szCs w:val="28"/>
        </w:rPr>
        <w:t>）；联系电话：0575-</w:t>
      </w:r>
      <w:r w:rsidR="00C46E4C">
        <w:rPr>
          <w:rFonts w:ascii="仿宋" w:eastAsia="仿宋" w:hAnsi="仿宋"/>
          <w:kern w:val="0"/>
          <w:sz w:val="28"/>
          <w:szCs w:val="28"/>
        </w:rPr>
        <w:t>88207792</w:t>
      </w:r>
      <w:r>
        <w:rPr>
          <w:rFonts w:ascii="仿宋" w:eastAsia="仿宋" w:hAnsi="仿宋" w:hint="eastAsia"/>
          <w:kern w:val="0"/>
          <w:sz w:val="28"/>
          <w:szCs w:val="28"/>
        </w:rPr>
        <w:t>、8820</w:t>
      </w:r>
      <w:r w:rsidR="00C46E4C">
        <w:rPr>
          <w:rFonts w:ascii="仿宋" w:eastAsia="仿宋" w:hAnsi="仿宋"/>
          <w:kern w:val="0"/>
          <w:sz w:val="28"/>
          <w:szCs w:val="28"/>
        </w:rPr>
        <w:t>3707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9E2A06B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</w:p>
    <w:p w14:paraId="3631240E" w14:textId="77777777" w:rsidR="002D63C9" w:rsidRDefault="002D63C9">
      <w:pPr>
        <w:widowControl/>
        <w:adjustRightInd w:val="0"/>
        <w:spacing w:line="440" w:lineRule="exact"/>
        <w:ind w:firstLineChars="200" w:firstLine="562"/>
        <w:jc w:val="left"/>
        <w:textAlignment w:val="baseline"/>
        <w:rPr>
          <w:rFonts w:ascii="仿宋" w:eastAsia="仿宋" w:hAnsi="仿宋" w:hint="eastAsia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四、特别提醒：</w:t>
      </w:r>
    </w:p>
    <w:p w14:paraId="1640F83E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有关申报资料可在管理人网站</w:t>
      </w:r>
      <w:bookmarkStart w:id="1" w:name="_Hlt457638147"/>
      <w:r>
        <w:rPr>
          <w:rFonts w:ascii="仿宋" w:eastAsia="仿宋" w:hAnsi="仿宋"/>
          <w:kern w:val="0"/>
          <w:sz w:val="28"/>
          <w:szCs w:val="28"/>
        </w:rPr>
        <w:t>http://</w:t>
      </w:r>
      <w:hyperlink r:id="rId4" w:history="1">
        <w:r>
          <w:rPr>
            <w:rFonts w:ascii="仿宋" w:eastAsia="仿宋" w:hAnsi="仿宋" w:hint="eastAsia"/>
            <w:kern w:val="0"/>
            <w:sz w:val="28"/>
            <w:szCs w:val="28"/>
          </w:rPr>
          <w:t>www.zjdagong.com</w:t>
        </w:r>
      </w:hyperlink>
      <w:bookmarkEnd w:id="1"/>
      <w:r>
        <w:rPr>
          <w:rFonts w:ascii="仿宋" w:eastAsia="仿宋" w:hAnsi="仿宋" w:hint="eastAsia"/>
          <w:kern w:val="0"/>
          <w:sz w:val="28"/>
          <w:szCs w:val="28"/>
        </w:rPr>
        <w:t>下载；有关</w:t>
      </w:r>
      <w:r w:rsidR="00C46E4C">
        <w:rPr>
          <w:rFonts w:ascii="仿宋" w:eastAsia="仿宋" w:hAnsi="仿宋" w:hint="eastAsia"/>
          <w:kern w:val="0"/>
          <w:sz w:val="28"/>
          <w:szCs w:val="28"/>
        </w:rPr>
        <w:t>绍兴荣通实业投资有限公司</w:t>
      </w:r>
      <w:r>
        <w:rPr>
          <w:rFonts w:ascii="仿宋" w:eastAsia="仿宋" w:hAnsi="仿宋" w:hint="eastAsia"/>
          <w:kern w:val="0"/>
          <w:sz w:val="28"/>
          <w:szCs w:val="28"/>
        </w:rPr>
        <w:t>破产清</w:t>
      </w:r>
      <w:r>
        <w:rPr>
          <w:rFonts w:ascii="仿宋" w:eastAsia="仿宋" w:hAnsi="仿宋"/>
          <w:kern w:val="0"/>
          <w:sz w:val="28"/>
          <w:szCs w:val="28"/>
        </w:rPr>
        <w:t>算</w:t>
      </w:r>
      <w:r>
        <w:rPr>
          <w:rFonts w:ascii="仿宋" w:eastAsia="仿宋" w:hAnsi="仿宋" w:hint="eastAsia"/>
          <w:kern w:val="0"/>
          <w:sz w:val="28"/>
          <w:szCs w:val="28"/>
        </w:rPr>
        <w:t>案的相关信息，管理人也将根据实际需要通过网站、公告、电话等方式通知债权人，敬请债权人予以关注。</w:t>
      </w:r>
    </w:p>
    <w:p w14:paraId="55801D1E" w14:textId="77777777" w:rsidR="002D63C9" w:rsidRDefault="002D63C9">
      <w:pPr>
        <w:widowControl/>
        <w:adjustRightInd w:val="0"/>
        <w:spacing w:line="440" w:lineRule="exact"/>
        <w:ind w:firstLineChars="200" w:firstLine="560"/>
        <w:jc w:val="lef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</w:p>
    <w:p w14:paraId="2EE9E363" w14:textId="77777777" w:rsidR="002D63C9" w:rsidRDefault="002D63C9">
      <w:pPr>
        <w:widowControl/>
        <w:adjustRightInd w:val="0"/>
        <w:spacing w:line="440" w:lineRule="exact"/>
        <w:ind w:firstLineChars="1100" w:firstLine="3080"/>
        <w:jc w:val="left"/>
        <w:textAlignment w:val="baseline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t xml:space="preserve">      </w:t>
      </w:r>
    </w:p>
    <w:p w14:paraId="5DC51E7C" w14:textId="77777777" w:rsidR="002D63C9" w:rsidRPr="00A478D6" w:rsidRDefault="00C46E4C">
      <w:pPr>
        <w:widowControl/>
        <w:adjustRightInd w:val="0"/>
        <w:spacing w:line="440" w:lineRule="exact"/>
        <w:ind w:firstLineChars="1150" w:firstLine="3220"/>
        <w:jc w:val="right"/>
        <w:textAlignment w:val="baseline"/>
        <w:rPr>
          <w:rFonts w:ascii="仿宋" w:eastAsia="仿宋" w:hAnsi="仿宋" w:hint="eastAsia"/>
          <w:kern w:val="0"/>
          <w:sz w:val="28"/>
          <w:szCs w:val="28"/>
        </w:rPr>
      </w:pPr>
      <w:r>
        <w:rPr>
          <w:rFonts w:ascii="仿宋" w:eastAsia="仿宋" w:hAnsi="仿宋" w:hint="eastAsia"/>
          <w:kern w:val="0"/>
          <w:sz w:val="28"/>
          <w:szCs w:val="28"/>
        </w:rPr>
        <w:t>绍兴荣通实业投资有限公司</w:t>
      </w:r>
      <w:r w:rsidR="002D63C9">
        <w:rPr>
          <w:rFonts w:ascii="仿宋" w:eastAsia="仿宋" w:hAnsi="仿宋" w:hint="eastAsia"/>
          <w:kern w:val="0"/>
          <w:sz w:val="28"/>
          <w:szCs w:val="28"/>
        </w:rPr>
        <w:t>管理人</w:t>
      </w:r>
    </w:p>
    <w:p w14:paraId="6E2F6CDC" w14:textId="77777777" w:rsidR="002D63C9" w:rsidRDefault="002D63C9">
      <w:pPr>
        <w:widowControl/>
        <w:adjustRightInd w:val="0"/>
        <w:spacing w:line="440" w:lineRule="exact"/>
        <w:ind w:firstLineChars="1350" w:firstLine="3780"/>
        <w:jc w:val="right"/>
        <w:textAlignment w:val="baseline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 w:rsidR="00A478D6">
        <w:rPr>
          <w:rFonts w:ascii="仿宋" w:eastAsia="仿宋" w:hAnsi="仿宋" w:hint="eastAsia"/>
          <w:sz w:val="28"/>
          <w:szCs w:val="28"/>
        </w:rPr>
        <w:t>二○一</w:t>
      </w:r>
      <w:r w:rsidR="00C46E4C">
        <w:rPr>
          <w:rFonts w:ascii="仿宋" w:eastAsia="仿宋" w:hAnsi="仿宋" w:hint="eastAsia"/>
          <w:sz w:val="28"/>
          <w:szCs w:val="28"/>
        </w:rPr>
        <w:t>七</w:t>
      </w:r>
      <w:r w:rsidR="00A478D6">
        <w:rPr>
          <w:rFonts w:ascii="仿宋" w:eastAsia="仿宋" w:hAnsi="仿宋" w:hint="eastAsia"/>
          <w:sz w:val="28"/>
          <w:szCs w:val="28"/>
        </w:rPr>
        <w:t>年</w:t>
      </w:r>
      <w:r w:rsidR="00C46E4C">
        <w:rPr>
          <w:rFonts w:ascii="仿宋" w:eastAsia="仿宋" w:hAnsi="仿宋" w:hint="eastAsia"/>
          <w:sz w:val="28"/>
          <w:szCs w:val="28"/>
        </w:rPr>
        <w:t>八</w:t>
      </w:r>
      <w:r>
        <w:rPr>
          <w:rFonts w:ascii="仿宋" w:eastAsia="仿宋" w:hAnsi="仿宋" w:hint="eastAsia"/>
          <w:sz w:val="28"/>
          <w:szCs w:val="28"/>
        </w:rPr>
        <w:t>月</w:t>
      </w:r>
      <w:r w:rsidR="00A478D6">
        <w:rPr>
          <w:rFonts w:ascii="仿宋" w:eastAsia="仿宋" w:hAnsi="仿宋" w:hint="eastAsia"/>
          <w:sz w:val="28"/>
          <w:szCs w:val="28"/>
        </w:rPr>
        <w:t>三十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D63C9">
      <w:pgSz w:w="11906" w:h="16838"/>
      <w:pgMar w:top="1440" w:right="1646" w:bottom="1440" w:left="16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D9"/>
    <w:rsid w:val="000070DF"/>
    <w:rsid w:val="000E4A65"/>
    <w:rsid w:val="001B4A79"/>
    <w:rsid w:val="001E7B00"/>
    <w:rsid w:val="001F5F71"/>
    <w:rsid w:val="002323EB"/>
    <w:rsid w:val="00272E79"/>
    <w:rsid w:val="002A3099"/>
    <w:rsid w:val="002A6695"/>
    <w:rsid w:val="002B14F5"/>
    <w:rsid w:val="002B7272"/>
    <w:rsid w:val="002D63C9"/>
    <w:rsid w:val="00322614"/>
    <w:rsid w:val="00323ECC"/>
    <w:rsid w:val="00353C30"/>
    <w:rsid w:val="00364AF5"/>
    <w:rsid w:val="00374521"/>
    <w:rsid w:val="003B140E"/>
    <w:rsid w:val="003C08CB"/>
    <w:rsid w:val="003C7F37"/>
    <w:rsid w:val="003E4DFF"/>
    <w:rsid w:val="003F5399"/>
    <w:rsid w:val="0043485D"/>
    <w:rsid w:val="00436178"/>
    <w:rsid w:val="0045543C"/>
    <w:rsid w:val="00461740"/>
    <w:rsid w:val="0049219F"/>
    <w:rsid w:val="004A3398"/>
    <w:rsid w:val="005847C1"/>
    <w:rsid w:val="00620099"/>
    <w:rsid w:val="00631818"/>
    <w:rsid w:val="00696DAC"/>
    <w:rsid w:val="006E7733"/>
    <w:rsid w:val="006F5AA3"/>
    <w:rsid w:val="00725778"/>
    <w:rsid w:val="00793347"/>
    <w:rsid w:val="007C3CA3"/>
    <w:rsid w:val="007E560E"/>
    <w:rsid w:val="007F7EA5"/>
    <w:rsid w:val="00812251"/>
    <w:rsid w:val="008441F9"/>
    <w:rsid w:val="0086714A"/>
    <w:rsid w:val="008814DB"/>
    <w:rsid w:val="008F4465"/>
    <w:rsid w:val="009000C5"/>
    <w:rsid w:val="00A33A22"/>
    <w:rsid w:val="00A478D6"/>
    <w:rsid w:val="00A50AA9"/>
    <w:rsid w:val="00A8124D"/>
    <w:rsid w:val="00AC3B5F"/>
    <w:rsid w:val="00AE0434"/>
    <w:rsid w:val="00AF08CC"/>
    <w:rsid w:val="00BA3730"/>
    <w:rsid w:val="00BB4B6D"/>
    <w:rsid w:val="00BC00AF"/>
    <w:rsid w:val="00BE30A8"/>
    <w:rsid w:val="00C41019"/>
    <w:rsid w:val="00C46E4C"/>
    <w:rsid w:val="00CE6AB6"/>
    <w:rsid w:val="00CF206A"/>
    <w:rsid w:val="00D7285F"/>
    <w:rsid w:val="00D72D0D"/>
    <w:rsid w:val="00E27F38"/>
    <w:rsid w:val="00E532F8"/>
    <w:rsid w:val="00E83C8B"/>
    <w:rsid w:val="00E84462"/>
    <w:rsid w:val="00E84C21"/>
    <w:rsid w:val="00E85640"/>
    <w:rsid w:val="00E90E44"/>
    <w:rsid w:val="00E93DB6"/>
    <w:rsid w:val="00F1674C"/>
    <w:rsid w:val="00F524D9"/>
    <w:rsid w:val="00F72BE7"/>
    <w:rsid w:val="00FE3703"/>
    <w:rsid w:val="00FF0D75"/>
    <w:rsid w:val="06205A03"/>
    <w:rsid w:val="11051AB9"/>
    <w:rsid w:val="4B4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0B2744"/>
  <w15:chartTrackingRefBased/>
  <w15:docId w15:val="{A805B009-D3C2-45E6-858C-FDB41C2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jdagong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1544</Words>
  <Characters>186</Characters>
  <Application>Microsoft Office Word</Application>
  <DocSecurity>0</DocSecurity>
  <PresentationFormat/>
  <Lines>1</Lines>
  <Paragraphs>3</Paragraphs>
  <Slides>0</Slides>
  <Notes>0</Notes>
  <HiddenSlides>0</HiddenSlides>
  <MMClips>0</MMClips>
  <ScaleCrop>false</ScaleCrop>
  <Manager/>
  <Company>WWW.YlmF.CoM</Company>
  <LinksUpToDate>false</LinksUpToDate>
  <CharactersWithSpaces>1727</CharactersWithSpaces>
  <SharedDoc>false</SharedDoc>
  <HLinks>
    <vt:vector size="6" baseType="variant"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http://www.zjdagong.com/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浙江二毛纱业有限公司破产清算一案</dc:title>
  <dc:subject/>
  <dc:creator>雨林木风</dc:creator>
  <cp:keywords/>
  <dc:description/>
  <cp:lastModifiedBy>马健</cp:lastModifiedBy>
  <cp:revision>2</cp:revision>
  <dcterms:created xsi:type="dcterms:W3CDTF">2017-08-30T08:04:00Z</dcterms:created>
  <dcterms:modified xsi:type="dcterms:W3CDTF">2017-08-30T08:04:00Z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